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F1C9" w14:textId="77777777" w:rsidR="00483B9C" w:rsidRPr="00ED7176" w:rsidRDefault="00483B9C" w:rsidP="00661542">
      <w:pPr>
        <w:rPr>
          <w:lang w:val="en-GB"/>
        </w:rPr>
      </w:pPr>
    </w:p>
    <w:p w14:paraId="5ECDA0D5" w14:textId="77777777" w:rsidR="00483B9C" w:rsidRPr="00ED7176" w:rsidRDefault="00483B9C" w:rsidP="00661542">
      <w:pPr>
        <w:rPr>
          <w:lang w:val="en-GB"/>
        </w:rPr>
      </w:pPr>
    </w:p>
    <w:p w14:paraId="119FEC1D" w14:textId="77777777" w:rsidR="00483B9C" w:rsidRPr="00ED7176" w:rsidRDefault="00483B9C" w:rsidP="00661542">
      <w:pPr>
        <w:rPr>
          <w:lang w:val="en-GB"/>
        </w:rPr>
      </w:pPr>
    </w:p>
    <w:p w14:paraId="3F31DB1E" w14:textId="77777777" w:rsidR="00483B9C" w:rsidRPr="00ED7176" w:rsidRDefault="00483B9C" w:rsidP="00661542">
      <w:pPr>
        <w:rPr>
          <w:lang w:val="en-GB"/>
        </w:rPr>
      </w:pPr>
    </w:p>
    <w:p w14:paraId="76AFEBC8" w14:textId="77777777" w:rsidR="00483B9C" w:rsidRDefault="00483B9C" w:rsidP="00661542">
      <w:pPr>
        <w:rPr>
          <w:lang w:val="en-GB"/>
        </w:rPr>
      </w:pPr>
    </w:p>
    <w:p w14:paraId="55F54859" w14:textId="77777777" w:rsidR="00A848B9" w:rsidRPr="00ED7176" w:rsidRDefault="00A848B9" w:rsidP="00661542">
      <w:pPr>
        <w:rPr>
          <w:lang w:val="en-GB"/>
        </w:rPr>
      </w:pPr>
    </w:p>
    <w:p w14:paraId="3DE55F5D" w14:textId="77777777" w:rsidR="00483B9C" w:rsidRPr="00ED7176" w:rsidRDefault="00483B9C" w:rsidP="00661542">
      <w:pPr>
        <w:rPr>
          <w:lang w:val="en-GB"/>
        </w:rPr>
      </w:pPr>
    </w:p>
    <w:p w14:paraId="2388553E" w14:textId="77777777" w:rsidR="00483B9C" w:rsidRPr="00ED7176" w:rsidRDefault="00483B9C" w:rsidP="00661542">
      <w:pPr>
        <w:rPr>
          <w:lang w:val="en-GB"/>
        </w:rPr>
      </w:pPr>
    </w:p>
    <w:p w14:paraId="403AF8ED" w14:textId="77777777" w:rsidR="00483B9C" w:rsidRDefault="00483B9C" w:rsidP="00661542">
      <w:pPr>
        <w:rPr>
          <w:lang w:val="en-GB"/>
        </w:rPr>
      </w:pPr>
    </w:p>
    <w:p w14:paraId="316C67ED" w14:textId="77777777" w:rsidR="00CD5FAA" w:rsidRPr="00ED7176" w:rsidRDefault="00CD5FAA" w:rsidP="00661542">
      <w:pPr>
        <w:rPr>
          <w:lang w:val="en-GB"/>
        </w:rPr>
      </w:pPr>
    </w:p>
    <w:p w14:paraId="586D2838" w14:textId="2ECB4EDC" w:rsidR="00266CEE" w:rsidRDefault="000A6F0D" w:rsidP="00266CEE">
      <w:pPr>
        <w:jc w:val="center"/>
        <w:rPr>
          <w:b/>
          <w:bCs/>
          <w:sz w:val="44"/>
          <w:szCs w:val="44"/>
        </w:rPr>
      </w:pPr>
      <w:r w:rsidRPr="000A6F0D">
        <w:rPr>
          <w:b/>
          <w:bCs/>
          <w:sz w:val="48"/>
          <w:szCs w:val="48"/>
        </w:rPr>
        <w:t>The Enforcement of the EU Forced Labour Regulation and Systemic Forced Labour Risks</w:t>
      </w:r>
      <w:r w:rsidRPr="000A6F0D">
        <w:rPr>
          <w:b/>
          <w:bCs/>
          <w:sz w:val="48"/>
          <w:szCs w:val="48"/>
        </w:rPr>
        <w:br/>
        <w:t>in Xinjiang</w:t>
      </w:r>
    </w:p>
    <w:p w14:paraId="6EACCD86" w14:textId="762CC495" w:rsidR="00266CEE" w:rsidRPr="00B4456D" w:rsidRDefault="00266CEE" w:rsidP="00266CEE"/>
    <w:p w14:paraId="76557E12" w14:textId="406F2D34" w:rsidR="00266CEE" w:rsidRPr="00B4456D" w:rsidRDefault="00266CEE" w:rsidP="00266CEE">
      <w:pPr>
        <w:jc w:val="center"/>
      </w:pPr>
    </w:p>
    <w:p w14:paraId="48D26410" w14:textId="0425F903" w:rsidR="00266CEE" w:rsidRPr="00B4456D" w:rsidRDefault="00266CEE" w:rsidP="00266CEE">
      <w:pPr>
        <w:jc w:val="center"/>
      </w:pPr>
    </w:p>
    <w:p w14:paraId="4E14561A" w14:textId="3FCEA8C1" w:rsidR="00266CEE" w:rsidRPr="00B4456D" w:rsidRDefault="00266CEE" w:rsidP="00181635"/>
    <w:p w14:paraId="7D37F93C" w14:textId="4BF3BD38" w:rsidR="00266CEE" w:rsidRPr="00B4456D" w:rsidRDefault="000A6F0D" w:rsidP="00266CEE">
      <w:pPr>
        <w:jc w:val="center"/>
      </w:pPr>
      <w:r w:rsidRPr="000A6F0D">
        <w:rPr>
          <w:b/>
          <w:bCs/>
          <w:i/>
          <w:iCs/>
        </w:rPr>
        <w:t>Jan Švec</w:t>
      </w:r>
      <w:r w:rsidR="009861A5" w:rsidRPr="009861A5">
        <w:rPr>
          <w:b/>
          <w:bCs/>
        </w:rPr>
        <w:t xml:space="preserve"> </w:t>
      </w:r>
    </w:p>
    <w:p w14:paraId="6761722C" w14:textId="4C486283" w:rsidR="00266CEE" w:rsidRPr="00E24D5A" w:rsidRDefault="000766B0" w:rsidP="00266CEE">
      <w:pPr>
        <w:jc w:val="center"/>
        <w:rPr>
          <w:i/>
          <w:iCs/>
        </w:rPr>
      </w:pPr>
      <w:proofErr w:type="spellStart"/>
      <w:r>
        <w:rPr>
          <w:i/>
          <w:iCs/>
        </w:rPr>
        <w:t>October</w:t>
      </w:r>
      <w:proofErr w:type="spellEnd"/>
      <w:r>
        <w:rPr>
          <w:i/>
          <w:iCs/>
        </w:rPr>
        <w:t xml:space="preserve"> </w:t>
      </w:r>
      <w:r w:rsidR="00266CEE" w:rsidRPr="00E24D5A">
        <w:rPr>
          <w:i/>
          <w:iCs/>
        </w:rPr>
        <w:t>2025</w:t>
      </w:r>
    </w:p>
    <w:p w14:paraId="15807360" w14:textId="77777777" w:rsidR="008A3F85" w:rsidRPr="00ED7176" w:rsidRDefault="008A3F85" w:rsidP="00661542">
      <w:pPr>
        <w:rPr>
          <w:lang w:val="en-GB"/>
        </w:rPr>
      </w:pPr>
    </w:p>
    <w:p w14:paraId="7BD6D5A1" w14:textId="77777777" w:rsidR="008A3F85" w:rsidRPr="00ED7176" w:rsidRDefault="008A3F85" w:rsidP="00661542">
      <w:pPr>
        <w:rPr>
          <w:lang w:val="en-GB"/>
        </w:rPr>
      </w:pPr>
    </w:p>
    <w:p w14:paraId="7BCE84AF" w14:textId="77777777" w:rsidR="008A3F85" w:rsidRPr="00ED7176" w:rsidRDefault="008A3F85" w:rsidP="00661542">
      <w:pPr>
        <w:rPr>
          <w:lang w:val="en-GB"/>
        </w:rPr>
      </w:pPr>
    </w:p>
    <w:p w14:paraId="3CC52FE0" w14:textId="77777777" w:rsidR="008A3F85" w:rsidRPr="00ED7176" w:rsidRDefault="008A3F85" w:rsidP="00661542">
      <w:pPr>
        <w:rPr>
          <w:lang w:val="en-GB"/>
        </w:rPr>
      </w:pPr>
    </w:p>
    <w:p w14:paraId="73CA796A" w14:textId="77777777" w:rsidR="00483B9C" w:rsidRPr="00ED7176" w:rsidRDefault="00483B9C" w:rsidP="00661542">
      <w:pPr>
        <w:jc w:val="center"/>
        <w:rPr>
          <w:lang w:val="en-GB"/>
        </w:rPr>
      </w:pPr>
    </w:p>
    <w:p w14:paraId="2F80A01C" w14:textId="77777777" w:rsidR="00483B9C" w:rsidRPr="00ED7176" w:rsidRDefault="00483B9C" w:rsidP="00661542">
      <w:pPr>
        <w:rPr>
          <w:lang w:val="en-GB"/>
        </w:rPr>
      </w:pPr>
    </w:p>
    <w:p w14:paraId="748B2C28" w14:textId="77777777" w:rsidR="008A3F85" w:rsidRPr="00ED7176" w:rsidRDefault="008A3F85" w:rsidP="00661542">
      <w:pPr>
        <w:rPr>
          <w:lang w:val="en-GB"/>
        </w:rPr>
      </w:pPr>
    </w:p>
    <w:p w14:paraId="1A2A0081" w14:textId="3084DC16" w:rsidR="00483B9C" w:rsidRDefault="00483B9C" w:rsidP="00661542">
      <w:pPr>
        <w:rPr>
          <w:lang w:val="en-GB"/>
        </w:rPr>
      </w:pPr>
    </w:p>
    <w:p w14:paraId="631436D5" w14:textId="77777777" w:rsidR="00757B51" w:rsidRPr="00ED7176" w:rsidRDefault="00757B51" w:rsidP="00661542">
      <w:pPr>
        <w:rPr>
          <w:lang w:val="en-GB"/>
        </w:rPr>
      </w:pPr>
    </w:p>
    <w:p w14:paraId="5A95A7CF" w14:textId="77777777" w:rsidR="00181635" w:rsidRDefault="00181635" w:rsidP="00661542">
      <w:pPr>
        <w:rPr>
          <w:lang w:val="en-GB"/>
        </w:rPr>
      </w:pPr>
    </w:p>
    <w:p w14:paraId="58E544D9" w14:textId="77777777" w:rsidR="00CD5FAA" w:rsidRDefault="00CD5FAA" w:rsidP="00661542">
      <w:pPr>
        <w:rPr>
          <w:lang w:val="en-GB"/>
        </w:rPr>
      </w:pPr>
    </w:p>
    <w:p w14:paraId="687BDBF7" w14:textId="77777777" w:rsidR="000F6119" w:rsidRPr="00ED7176" w:rsidRDefault="000F6119" w:rsidP="00661542">
      <w:pPr>
        <w:rPr>
          <w:lang w:val="en-GB"/>
        </w:rPr>
      </w:pPr>
    </w:p>
    <w:p w14:paraId="6E8F107F" w14:textId="77777777" w:rsidR="00213C33" w:rsidRPr="00CD5FAA" w:rsidRDefault="008A3F85" w:rsidP="00CD5FAA">
      <w:pPr>
        <w:rPr>
          <w:lang w:val="en-GB"/>
        </w:rPr>
      </w:pPr>
      <w:r w:rsidRPr="00ED7176">
        <w:rPr>
          <w:noProof/>
        </w:rPr>
        <mc:AlternateContent>
          <mc:Choice Requires="wps">
            <w:drawing>
              <wp:anchor distT="0" distB="0" distL="0" distR="0" simplePos="0" relativeHeight="251658241" behindDoc="0" locked="0" layoutInCell="1" allowOverlap="1" wp14:anchorId="262DA567" wp14:editId="402F27E6">
                <wp:simplePos x="0" y="0"/>
                <wp:positionH relativeFrom="page">
                  <wp:posOffset>759460</wp:posOffset>
                </wp:positionH>
                <wp:positionV relativeFrom="paragraph">
                  <wp:posOffset>94286</wp:posOffset>
                </wp:positionV>
                <wp:extent cx="1830070" cy="9525"/>
                <wp:effectExtent l="0" t="0" r="0" b="3175"/>
                <wp:wrapNone/>
                <wp:docPr id="194098909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6CB1F66" id="Graphic 4" o:spid="_x0000_s1026" style="position:absolute;margin-left:59.8pt;margin-top:7.4pt;width:144.1pt;height:.75pt;z-index:25165824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" path="m1829816,l,,,9524r1829816,l1829816,xe" fillcolor="black" stroked="f">
                <v:path arrowok="t"/>
                <w10:wrap anchorx="page"/>
              </v:shape>
            </w:pict>
          </mc:Fallback>
        </mc:AlternateContent>
      </w:r>
    </w:p>
    <w:p w14:paraId="3EC64131" w14:textId="0FDFDBC6" w:rsidR="00A17DEC" w:rsidRPr="000766B0" w:rsidRDefault="000A6F0D" w:rsidP="00A17DEC">
      <w:pPr>
        <w:pStyle w:val="Nadpis4"/>
        <w:rPr>
          <w:b w:val="0"/>
          <w:bCs w:val="0"/>
          <w:i/>
          <w:iCs/>
          <w:sz w:val="18"/>
          <w:szCs w:val="18"/>
          <w:lang w:val="en-US"/>
        </w:rPr>
      </w:pPr>
      <w:r w:rsidRPr="000766B0">
        <w:rPr>
          <w:i/>
          <w:iCs/>
          <w:sz w:val="18"/>
          <w:szCs w:val="18"/>
          <w:lang w:val="en-US"/>
        </w:rPr>
        <w:t>Jan Švec</w:t>
      </w:r>
      <w:r w:rsidRPr="000766B0">
        <w:rPr>
          <w:b w:val="0"/>
          <w:bCs w:val="0"/>
          <w:i/>
          <w:iCs/>
          <w:sz w:val="18"/>
          <w:szCs w:val="18"/>
          <w:lang w:val="en-US"/>
        </w:rPr>
        <w:t xml:space="preserve"> is </w:t>
      </w:r>
      <w:r w:rsidR="000766B0" w:rsidRPr="000766B0">
        <w:rPr>
          <w:b w:val="0"/>
          <w:bCs w:val="0"/>
          <w:i/>
          <w:iCs/>
          <w:sz w:val="18"/>
          <w:szCs w:val="18"/>
          <w:lang w:val="en-US"/>
        </w:rPr>
        <w:t>a research fellow at the Institute of International Relations in Prague. His work focuses on China, political repression, digital authoritarianism, and human rights. He holds a PhD in political science from the Prague University of Economics and Business.</w:t>
      </w:r>
    </w:p>
    <w:p w14:paraId="42EC4760" w14:textId="77777777" w:rsidR="000766B0" w:rsidRDefault="000766B0" w:rsidP="00661542">
      <w:pPr>
        <w:pStyle w:val="Nadpis4"/>
        <w:rPr>
          <w:rFonts w:ascii="Arial" w:hAnsi="Arial"/>
          <w:i/>
          <w:iCs/>
          <w:color w:val="1D1C1D"/>
          <w:sz w:val="23"/>
          <w:szCs w:val="23"/>
          <w:shd w:val="clear" w:color="auto" w:fill="F8F8F8"/>
        </w:rPr>
      </w:pPr>
    </w:p>
    <w:p w14:paraId="0178C5E9" w14:textId="64EBBE31" w:rsidR="00213C33" w:rsidRPr="00213C33" w:rsidRDefault="006E7F9C" w:rsidP="00661542">
      <w:pPr>
        <w:pStyle w:val="Nadpis4"/>
        <w:rPr>
          <w:color w:val="FFFFFF" w:themeColor="background1"/>
        </w:rPr>
      </w:pPr>
      <w:r w:rsidRPr="00D97D12">
        <w:rPr>
          <w:i/>
          <w:iCs/>
          <w:noProof/>
        </w:rPr>
        <mc:AlternateContent>
          <mc:Choice Requires="wps">
            <w:drawing>
              <wp:anchor distT="0" distB="0" distL="0" distR="0" simplePos="0" relativeHeight="251657216" behindDoc="0" locked="0" layoutInCell="1" allowOverlap="1" wp14:anchorId="6C1A8755" wp14:editId="50C6AD7B">
                <wp:simplePos x="0" y="0"/>
                <wp:positionH relativeFrom="page">
                  <wp:posOffset>759460</wp:posOffset>
                </wp:positionH>
                <wp:positionV relativeFrom="paragraph">
                  <wp:posOffset>465294</wp:posOffset>
                </wp:positionV>
                <wp:extent cx="1830070" cy="9525"/>
                <wp:effectExtent l="0" t="0" r="0" b="3175"/>
                <wp:wrapNone/>
                <wp:docPr id="166409798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816" y="0"/>
                              </a:moveTo>
                              <a:lnTo>
                                <a:pt x="0" y="0"/>
                              </a:lnTo>
                              <a:lnTo>
                                <a:pt x="0" y="9524"/>
                              </a:lnTo>
                              <a:lnTo>
                                <a:pt x="1829816" y="9524"/>
                              </a:lnTo>
                              <a:lnTo>
                                <a:pt x="182981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74C46C6" id="Graphic 4" o:spid="_x0000_s1026" style="position:absolute;margin-left:59.8pt;margin-top:36.65pt;width:144.1pt;height:.7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" path="m1829816,l,,,9524r1829816,l1829816,xe" fillcolor="black" stroked="f">
                <v:path arrowok="t"/>
                <w10:wrap anchorx="page"/>
              </v:shape>
            </w:pict>
          </mc:Fallback>
        </mc:AlternateContent>
      </w:r>
      <w:proofErr w:type="spellStart"/>
      <w:r w:rsidR="00483B9C" w:rsidRPr="00D97D12">
        <w:t>Note</w:t>
      </w:r>
      <w:proofErr w:type="spellEnd"/>
      <w:r w:rsidR="00483B9C" w:rsidRPr="00D97D12">
        <w:t xml:space="preserve">: </w:t>
      </w:r>
      <w:proofErr w:type="spellStart"/>
      <w:r w:rsidR="00483B9C" w:rsidRPr="00D97D12">
        <w:t>This</w:t>
      </w:r>
      <w:proofErr w:type="spellEnd"/>
      <w:r w:rsidR="00483B9C" w:rsidRPr="00D97D12">
        <w:t xml:space="preserve"> </w:t>
      </w:r>
      <w:proofErr w:type="spellStart"/>
      <w:r w:rsidR="00483B9C" w:rsidRPr="00D97D12">
        <w:t>publication</w:t>
      </w:r>
      <w:proofErr w:type="spellEnd"/>
      <w:r w:rsidR="00483B9C" w:rsidRPr="00D97D12">
        <w:t xml:space="preserve"> has been authored by external contributor/s. The contents do not </w:t>
      </w:r>
      <w:r w:rsidR="00ED7176" w:rsidRPr="00D97D12">
        <w:t xml:space="preserve">                </w:t>
      </w:r>
      <w:r w:rsidR="00483B9C" w:rsidRPr="00D97D12">
        <w:t>necessarily</w:t>
      </w:r>
      <w:r w:rsidR="00483B9C" w:rsidRPr="00D97D12">
        <w:rPr>
          <w:spacing w:val="-7"/>
        </w:rPr>
        <w:t xml:space="preserve"> </w:t>
      </w:r>
      <w:r w:rsidR="00483B9C" w:rsidRPr="00D97D12">
        <w:t>reflect</w:t>
      </w:r>
      <w:r w:rsidR="00483B9C" w:rsidRPr="00D97D12">
        <w:rPr>
          <w:spacing w:val="-4"/>
        </w:rPr>
        <w:t xml:space="preserve"> </w:t>
      </w:r>
      <w:r w:rsidR="00483B9C" w:rsidRPr="00D97D12">
        <w:t>the</w:t>
      </w:r>
      <w:r w:rsidR="00483B9C" w:rsidRPr="00D97D12">
        <w:rPr>
          <w:spacing w:val="-4"/>
        </w:rPr>
        <w:t xml:space="preserve"> </w:t>
      </w:r>
      <w:r w:rsidR="00483B9C" w:rsidRPr="00D97D12">
        <w:t>opinion</w:t>
      </w:r>
      <w:r w:rsidR="00483B9C" w:rsidRPr="00D97D12">
        <w:rPr>
          <w:spacing w:val="-4"/>
        </w:rPr>
        <w:t xml:space="preserve"> </w:t>
      </w:r>
      <w:r w:rsidR="00483B9C" w:rsidRPr="00D97D12">
        <w:t>or</w:t>
      </w:r>
      <w:r w:rsidR="00483B9C" w:rsidRPr="00D97D12">
        <w:rPr>
          <w:spacing w:val="-4"/>
        </w:rPr>
        <w:t xml:space="preserve"> </w:t>
      </w:r>
      <w:r w:rsidR="00483B9C" w:rsidRPr="00D97D12">
        <w:t>the</w:t>
      </w:r>
      <w:r w:rsidR="00483B9C" w:rsidRPr="00D97D12">
        <w:rPr>
          <w:spacing w:val="-4"/>
        </w:rPr>
        <w:t xml:space="preserve"> </w:t>
      </w:r>
      <w:r w:rsidR="00483B9C" w:rsidRPr="00D97D12">
        <w:t>position</w:t>
      </w:r>
      <w:r w:rsidR="00483B9C" w:rsidRPr="00D97D12">
        <w:rPr>
          <w:spacing w:val="-4"/>
        </w:rPr>
        <w:t xml:space="preserve"> </w:t>
      </w:r>
      <w:r w:rsidR="00483B9C" w:rsidRPr="00D97D12">
        <w:t>of</w:t>
      </w:r>
      <w:r w:rsidR="00483B9C" w:rsidRPr="00D97D12">
        <w:rPr>
          <w:spacing w:val="-4"/>
        </w:rPr>
        <w:t xml:space="preserve"> </w:t>
      </w:r>
      <w:r w:rsidR="00483B9C" w:rsidRPr="00D97D12">
        <w:t>EUROPEUM</w:t>
      </w:r>
      <w:r w:rsidR="00483B9C" w:rsidRPr="00D97D12">
        <w:rPr>
          <w:spacing w:val="-4"/>
        </w:rPr>
        <w:t xml:space="preserve"> </w:t>
      </w:r>
      <w:r w:rsidR="00483B9C" w:rsidRPr="00D97D12">
        <w:t>Institute</w:t>
      </w:r>
      <w:r w:rsidR="00483B9C" w:rsidRPr="00D97D12">
        <w:rPr>
          <w:spacing w:val="-4"/>
        </w:rPr>
        <w:t xml:space="preserve"> </w:t>
      </w:r>
      <w:proofErr w:type="spellStart"/>
      <w:r w:rsidR="00483B9C" w:rsidRPr="00D97D12">
        <w:t>for</w:t>
      </w:r>
      <w:proofErr w:type="spellEnd"/>
      <w:r w:rsidR="00483B9C" w:rsidRPr="00D97D12">
        <w:rPr>
          <w:spacing w:val="-4"/>
        </w:rPr>
        <w:t xml:space="preserve"> </w:t>
      </w:r>
      <w:proofErr w:type="spellStart"/>
      <w:r w:rsidR="00483B9C" w:rsidRPr="00D97D12">
        <w:t>European</w:t>
      </w:r>
      <w:proofErr w:type="spellEnd"/>
      <w:r w:rsidR="00483B9C" w:rsidRPr="00D97D12">
        <w:rPr>
          <w:spacing w:val="-5"/>
        </w:rPr>
        <w:t xml:space="preserve"> </w:t>
      </w:r>
      <w:proofErr w:type="spellStart"/>
      <w:r w:rsidR="00483B9C" w:rsidRPr="00D97D12">
        <w:t>Policy</w:t>
      </w:r>
      <w:proofErr w:type="spellEnd"/>
      <w:r w:rsidR="008A3F85" w:rsidRPr="00D97D12">
        <w:t xml:space="preserve">                                          </w:t>
      </w:r>
      <w:r w:rsidR="008A3F85" w:rsidRPr="00ED7176">
        <w:rPr>
          <w:color w:val="FFFFFF" w:themeColor="background1"/>
        </w:rPr>
        <w:t>Europ</w:t>
      </w:r>
    </w:p>
    <w:p w14:paraId="539E6B67" w14:textId="69093D42" w:rsidR="00F23F87" w:rsidRPr="00593C0E" w:rsidRDefault="00661542" w:rsidP="00F23F87">
      <w:pPr>
        <w:pStyle w:val="Nadpis4"/>
        <w:rPr>
          <w:b w:val="0"/>
          <w:bCs w:val="0"/>
          <w:i/>
          <w:iCs/>
          <w:sz w:val="18"/>
          <w:szCs w:val="18"/>
        </w:rPr>
      </w:pPr>
      <w:r w:rsidRPr="00593C0E">
        <w:rPr>
          <w:b w:val="0"/>
          <w:bCs w:val="0"/>
          <w:i/>
          <w:iCs/>
          <w:sz w:val="18"/>
          <w:szCs w:val="18"/>
        </w:rPr>
        <w:t xml:space="preserve">This policy paper was produced within the Think Visegrad in Brussels Fellowship programme. In the first half of 2016, eight think-tanks from the Visegrad Group that have been cooperating in the Think Visegrad platform, agreed </w:t>
      </w:r>
      <w:r w:rsidR="00C912E1" w:rsidRPr="00593C0E">
        <w:rPr>
          <w:b w:val="0"/>
          <w:bCs w:val="0"/>
          <w:i/>
          <w:iCs/>
          <w:sz w:val="18"/>
          <w:szCs w:val="18"/>
        </w:rPr>
        <w:br/>
      </w:r>
      <w:r w:rsidRPr="00593C0E">
        <w:rPr>
          <w:b w:val="0"/>
          <w:bCs w:val="0"/>
          <w:i/>
          <w:iCs/>
          <w:sz w:val="18"/>
          <w:szCs w:val="18"/>
        </w:rPr>
        <w:t xml:space="preserve">on the idea proposed by the EUROPEUM Institute for European Policy, to create a common representation office </w:t>
      </w:r>
      <w:r w:rsidR="00C912E1" w:rsidRPr="00593C0E">
        <w:rPr>
          <w:b w:val="0"/>
          <w:bCs w:val="0"/>
          <w:i/>
          <w:iCs/>
          <w:sz w:val="18"/>
          <w:szCs w:val="18"/>
        </w:rPr>
        <w:br/>
      </w:r>
      <w:r w:rsidRPr="00593C0E">
        <w:rPr>
          <w:b w:val="0"/>
          <w:bCs w:val="0"/>
          <w:i/>
          <w:iCs/>
          <w:sz w:val="18"/>
          <w:szCs w:val="18"/>
        </w:rPr>
        <w:t xml:space="preserve">in Brussels. The main motivation for it is the need to encourage debate on issues of common interest to the EU and the V4 and explain the positions of the V4 to a wide audience. Think Visegrad in Brussels would like to project an image of constructive partners, to explain the dynamics of the debates within our regions and to highlight our active contributions to EU policy-making. For more information about Think Visegrad and its members </w:t>
      </w:r>
      <w:proofErr w:type="gramStart"/>
      <w:r w:rsidRPr="00593C0E">
        <w:rPr>
          <w:b w:val="0"/>
          <w:bCs w:val="0"/>
          <w:i/>
          <w:iCs/>
          <w:sz w:val="18"/>
          <w:szCs w:val="18"/>
        </w:rPr>
        <w:t>visit</w:t>
      </w:r>
      <w:proofErr w:type="gramEnd"/>
      <w:r w:rsidRPr="00593C0E">
        <w:rPr>
          <w:b w:val="0"/>
          <w:bCs w:val="0"/>
          <w:i/>
          <w:iCs/>
          <w:sz w:val="18"/>
          <w:szCs w:val="18"/>
        </w:rPr>
        <w:t> </w:t>
      </w:r>
      <w:hyperlink r:id="rId8" w:tgtFrame="_blank" w:history="1">
        <w:r w:rsidRPr="00593C0E">
          <w:rPr>
            <w:rStyle w:val="Hypertextovprepojenie"/>
            <w:b w:val="0"/>
            <w:bCs w:val="0"/>
            <w:i/>
            <w:iCs/>
            <w:sz w:val="18"/>
            <w:szCs w:val="18"/>
          </w:rPr>
          <w:t>www.think.visegradfund.org</w:t>
        </w:r>
      </w:hyperlink>
      <w:r w:rsidRPr="00593C0E">
        <w:rPr>
          <w:b w:val="0"/>
          <w:bCs w:val="0"/>
          <w:i/>
          <w:iCs/>
          <w:sz w:val="18"/>
          <w:szCs w:val="18"/>
        </w:rPr>
        <w:t>.</w:t>
      </w:r>
    </w:p>
    <w:sdt>
      <w:sdtPr>
        <w:rPr>
          <w:rFonts w:ascii="Candara" w:eastAsia="Arial" w:hAnsi="Candara" w:cs="Arial"/>
          <w:b w:val="0"/>
          <w:bCs w:val="0"/>
          <w:color w:val="auto"/>
          <w:sz w:val="22"/>
          <w:szCs w:val="22"/>
          <w:lang w:val="cs-CZ"/>
        </w:rPr>
        <w:id w:val="10343592"/>
        <w:docPartObj>
          <w:docPartGallery w:val="Table of Contents"/>
          <w:docPartUnique/>
        </w:docPartObj>
      </w:sdtPr>
      <w:sdtEndPr>
        <w:rPr>
          <w:noProof/>
        </w:rPr>
      </w:sdtEndPr>
      <w:sdtContent>
        <w:p w14:paraId="59B0C2F3" w14:textId="77777777" w:rsidR="00044B43" w:rsidRDefault="00044B43" w:rsidP="00661542">
          <w:pPr>
            <w:pStyle w:val="Hlavikaobsahu"/>
          </w:pPr>
        </w:p>
        <w:p w14:paraId="6D33D0CF" w14:textId="77777777" w:rsidR="00ED7176" w:rsidRPr="0057619F" w:rsidRDefault="00ED7176" w:rsidP="00661542">
          <w:pPr>
            <w:pStyle w:val="Hlavikaobsahu"/>
          </w:pPr>
          <w:r w:rsidRPr="008573E6">
            <w:rPr>
              <w:rFonts w:ascii="Candara" w:hAnsi="Candara" w:cs="Times New Roman (Nadpisy CS)"/>
            </w:rPr>
            <w:t>Contents</w:t>
          </w:r>
        </w:p>
        <w:p w14:paraId="77DE8656" w14:textId="77777777" w:rsidR="00A848B9" w:rsidRDefault="00A848B9" w:rsidP="00661542"/>
        <w:p w14:paraId="2ED49C3C" w14:textId="77777777" w:rsidR="0057619F" w:rsidRPr="00A848B9" w:rsidRDefault="0057619F" w:rsidP="00661542"/>
        <w:p w14:paraId="70FB2FB9" w14:textId="3A8F735A" w:rsidR="00B416E8" w:rsidRDefault="00ED7176">
          <w:pPr>
            <w:pStyle w:val="Obsah1"/>
            <w:tabs>
              <w:tab w:val="right" w:leader="dot" w:pos="9520"/>
            </w:tabs>
            <w:rPr>
              <w:rFonts w:eastAsiaTheme="minorEastAsia" w:cstheme="minorBidi"/>
              <w:b w:val="0"/>
              <w:bCs w:val="0"/>
              <w:i w:val="0"/>
              <w:iCs w:val="0"/>
              <w:noProof/>
              <w:kern w:val="2"/>
              <w:lang w:val="fr-BE" w:eastAsia="fr-BE"/>
              <w14:ligatures w14:val="standardContextual"/>
            </w:rPr>
          </w:pPr>
          <w:r w:rsidRPr="0057619F">
            <w:rPr>
              <w:rFonts w:ascii="Candara" w:hAnsi="Candara"/>
            </w:rPr>
            <w:fldChar w:fldCharType="begin"/>
          </w:r>
          <w:r w:rsidRPr="0057619F">
            <w:rPr>
              <w:rFonts w:ascii="Candara" w:hAnsi="Candara"/>
            </w:rPr>
            <w:instrText xml:space="preserve"> TOC \o "1-3" \h \z \u </w:instrText>
          </w:r>
          <w:r w:rsidRPr="0057619F">
            <w:rPr>
              <w:rFonts w:ascii="Candara" w:hAnsi="Candara"/>
            </w:rPr>
            <w:fldChar w:fldCharType="separate"/>
          </w:r>
          <w:hyperlink w:anchor="_Toc210988693" w:history="1">
            <w:r w:rsidR="00B416E8" w:rsidRPr="00A36AA5">
              <w:rPr>
                <w:rStyle w:val="Hypertextovprepojenie"/>
                <w:noProof/>
              </w:rPr>
              <w:t>Introduction</w:t>
            </w:r>
            <w:r w:rsidR="00B416E8">
              <w:rPr>
                <w:noProof/>
                <w:webHidden/>
              </w:rPr>
              <w:tab/>
            </w:r>
            <w:r w:rsidR="00B416E8">
              <w:rPr>
                <w:noProof/>
                <w:webHidden/>
              </w:rPr>
              <w:fldChar w:fldCharType="begin"/>
            </w:r>
            <w:r w:rsidR="00B416E8">
              <w:rPr>
                <w:noProof/>
                <w:webHidden/>
              </w:rPr>
              <w:instrText xml:space="preserve"> PAGEREF _Toc210988693 \h </w:instrText>
            </w:r>
            <w:r w:rsidR="00B416E8">
              <w:rPr>
                <w:noProof/>
                <w:webHidden/>
              </w:rPr>
            </w:r>
            <w:r w:rsidR="00B416E8">
              <w:rPr>
                <w:noProof/>
                <w:webHidden/>
              </w:rPr>
              <w:fldChar w:fldCharType="separate"/>
            </w:r>
            <w:r w:rsidR="00F23F87">
              <w:rPr>
                <w:noProof/>
                <w:webHidden/>
              </w:rPr>
              <w:t>3</w:t>
            </w:r>
            <w:r w:rsidR="00B416E8">
              <w:rPr>
                <w:noProof/>
                <w:webHidden/>
              </w:rPr>
              <w:fldChar w:fldCharType="end"/>
            </w:r>
          </w:hyperlink>
        </w:p>
        <w:p w14:paraId="6F62C31E" w14:textId="08F3E57E" w:rsidR="00B416E8" w:rsidRDefault="00B416E8">
          <w:pPr>
            <w:pStyle w:val="Obsah1"/>
            <w:tabs>
              <w:tab w:val="right" w:leader="dot" w:pos="9520"/>
            </w:tabs>
            <w:rPr>
              <w:rFonts w:eastAsiaTheme="minorEastAsia" w:cstheme="minorBidi"/>
              <w:b w:val="0"/>
              <w:bCs w:val="0"/>
              <w:i w:val="0"/>
              <w:iCs w:val="0"/>
              <w:noProof/>
              <w:kern w:val="2"/>
              <w:lang w:val="fr-BE" w:eastAsia="fr-BE"/>
              <w14:ligatures w14:val="standardContextual"/>
            </w:rPr>
          </w:pPr>
          <w:hyperlink w:anchor="_Toc210988694" w:history="1">
            <w:r w:rsidRPr="00A36AA5">
              <w:rPr>
                <w:rStyle w:val="Hypertextovprepojenie"/>
                <w:noProof/>
              </w:rPr>
              <w:t>EU Forced Labour Regulation</w:t>
            </w:r>
            <w:r>
              <w:rPr>
                <w:noProof/>
                <w:webHidden/>
              </w:rPr>
              <w:tab/>
            </w:r>
            <w:r>
              <w:rPr>
                <w:noProof/>
                <w:webHidden/>
              </w:rPr>
              <w:fldChar w:fldCharType="begin"/>
            </w:r>
            <w:r>
              <w:rPr>
                <w:noProof/>
                <w:webHidden/>
              </w:rPr>
              <w:instrText xml:space="preserve"> PAGEREF _Toc210988694 \h </w:instrText>
            </w:r>
            <w:r>
              <w:rPr>
                <w:noProof/>
                <w:webHidden/>
              </w:rPr>
            </w:r>
            <w:r>
              <w:rPr>
                <w:noProof/>
                <w:webHidden/>
              </w:rPr>
              <w:fldChar w:fldCharType="separate"/>
            </w:r>
            <w:r w:rsidR="00F23F87">
              <w:rPr>
                <w:noProof/>
                <w:webHidden/>
              </w:rPr>
              <w:t>4</w:t>
            </w:r>
            <w:r>
              <w:rPr>
                <w:noProof/>
                <w:webHidden/>
              </w:rPr>
              <w:fldChar w:fldCharType="end"/>
            </w:r>
          </w:hyperlink>
        </w:p>
        <w:p w14:paraId="3AE450DB" w14:textId="18CFF054" w:rsidR="00B416E8" w:rsidRDefault="00B416E8">
          <w:pPr>
            <w:pStyle w:val="Obsah1"/>
            <w:tabs>
              <w:tab w:val="right" w:leader="dot" w:pos="9520"/>
            </w:tabs>
            <w:rPr>
              <w:rFonts w:eastAsiaTheme="minorEastAsia" w:cstheme="minorBidi"/>
              <w:b w:val="0"/>
              <w:bCs w:val="0"/>
              <w:i w:val="0"/>
              <w:iCs w:val="0"/>
              <w:noProof/>
              <w:kern w:val="2"/>
              <w:lang w:val="fr-BE" w:eastAsia="fr-BE"/>
              <w14:ligatures w14:val="standardContextual"/>
            </w:rPr>
          </w:pPr>
          <w:hyperlink w:anchor="_Toc210988695" w:history="1">
            <w:r w:rsidRPr="00A36AA5">
              <w:rPr>
                <w:rStyle w:val="Hypertextovprepojenie"/>
                <w:noProof/>
              </w:rPr>
              <w:t>Forced labour in Xinjiang</w:t>
            </w:r>
            <w:r>
              <w:rPr>
                <w:noProof/>
                <w:webHidden/>
              </w:rPr>
              <w:tab/>
            </w:r>
            <w:r>
              <w:rPr>
                <w:noProof/>
                <w:webHidden/>
              </w:rPr>
              <w:fldChar w:fldCharType="begin"/>
            </w:r>
            <w:r>
              <w:rPr>
                <w:noProof/>
                <w:webHidden/>
              </w:rPr>
              <w:instrText xml:space="preserve"> PAGEREF _Toc210988695 \h </w:instrText>
            </w:r>
            <w:r>
              <w:rPr>
                <w:noProof/>
                <w:webHidden/>
              </w:rPr>
            </w:r>
            <w:r>
              <w:rPr>
                <w:noProof/>
                <w:webHidden/>
              </w:rPr>
              <w:fldChar w:fldCharType="separate"/>
            </w:r>
            <w:r w:rsidR="00F23F87">
              <w:rPr>
                <w:noProof/>
                <w:webHidden/>
              </w:rPr>
              <w:t>5</w:t>
            </w:r>
            <w:r>
              <w:rPr>
                <w:noProof/>
                <w:webHidden/>
              </w:rPr>
              <w:fldChar w:fldCharType="end"/>
            </w:r>
          </w:hyperlink>
        </w:p>
        <w:p w14:paraId="63FEBE3E" w14:textId="469A1531" w:rsidR="00B416E8" w:rsidRDefault="00B416E8">
          <w:pPr>
            <w:pStyle w:val="Obsah1"/>
            <w:tabs>
              <w:tab w:val="right" w:leader="dot" w:pos="9520"/>
            </w:tabs>
            <w:rPr>
              <w:rFonts w:eastAsiaTheme="minorEastAsia" w:cstheme="minorBidi"/>
              <w:b w:val="0"/>
              <w:bCs w:val="0"/>
              <w:i w:val="0"/>
              <w:iCs w:val="0"/>
              <w:noProof/>
              <w:kern w:val="2"/>
              <w:lang w:val="fr-BE" w:eastAsia="fr-BE"/>
              <w14:ligatures w14:val="standardContextual"/>
            </w:rPr>
          </w:pPr>
          <w:hyperlink w:anchor="_Toc210988696" w:history="1">
            <w:r w:rsidRPr="00A36AA5">
              <w:rPr>
                <w:rStyle w:val="Hypertextovprepojenie"/>
                <w:noProof/>
              </w:rPr>
              <w:t>The importance of Xinjiang for global supply chains</w:t>
            </w:r>
            <w:r>
              <w:rPr>
                <w:noProof/>
                <w:webHidden/>
              </w:rPr>
              <w:tab/>
            </w:r>
            <w:r>
              <w:rPr>
                <w:noProof/>
                <w:webHidden/>
              </w:rPr>
              <w:fldChar w:fldCharType="begin"/>
            </w:r>
            <w:r>
              <w:rPr>
                <w:noProof/>
                <w:webHidden/>
              </w:rPr>
              <w:instrText xml:space="preserve"> PAGEREF _Toc210988696 \h </w:instrText>
            </w:r>
            <w:r>
              <w:rPr>
                <w:noProof/>
                <w:webHidden/>
              </w:rPr>
            </w:r>
            <w:r>
              <w:rPr>
                <w:noProof/>
                <w:webHidden/>
              </w:rPr>
              <w:fldChar w:fldCharType="separate"/>
            </w:r>
            <w:r w:rsidR="00F23F87">
              <w:rPr>
                <w:noProof/>
                <w:webHidden/>
              </w:rPr>
              <w:t>7</w:t>
            </w:r>
            <w:r>
              <w:rPr>
                <w:noProof/>
                <w:webHidden/>
              </w:rPr>
              <w:fldChar w:fldCharType="end"/>
            </w:r>
          </w:hyperlink>
        </w:p>
        <w:p w14:paraId="3ED544D0" w14:textId="4BF7B25A" w:rsidR="00B416E8" w:rsidRDefault="00B416E8">
          <w:pPr>
            <w:pStyle w:val="Obsah1"/>
            <w:tabs>
              <w:tab w:val="right" w:leader="dot" w:pos="9520"/>
            </w:tabs>
            <w:rPr>
              <w:rFonts w:eastAsiaTheme="minorEastAsia" w:cstheme="minorBidi"/>
              <w:b w:val="0"/>
              <w:bCs w:val="0"/>
              <w:i w:val="0"/>
              <w:iCs w:val="0"/>
              <w:noProof/>
              <w:kern w:val="2"/>
              <w:lang w:val="fr-BE" w:eastAsia="fr-BE"/>
              <w14:ligatures w14:val="standardContextual"/>
            </w:rPr>
          </w:pPr>
          <w:hyperlink w:anchor="_Toc210988697" w:history="1">
            <w:r w:rsidRPr="00A36AA5">
              <w:rPr>
                <w:rStyle w:val="Hypertextovprepojenie"/>
                <w:noProof/>
              </w:rPr>
              <w:t>Ties between global supply chains and repressive programs</w:t>
            </w:r>
            <w:r>
              <w:rPr>
                <w:noProof/>
                <w:webHidden/>
              </w:rPr>
              <w:tab/>
            </w:r>
            <w:r>
              <w:rPr>
                <w:noProof/>
                <w:webHidden/>
              </w:rPr>
              <w:fldChar w:fldCharType="begin"/>
            </w:r>
            <w:r>
              <w:rPr>
                <w:noProof/>
                <w:webHidden/>
              </w:rPr>
              <w:instrText xml:space="preserve"> PAGEREF _Toc210988697 \h </w:instrText>
            </w:r>
            <w:r>
              <w:rPr>
                <w:noProof/>
                <w:webHidden/>
              </w:rPr>
            </w:r>
            <w:r>
              <w:rPr>
                <w:noProof/>
                <w:webHidden/>
              </w:rPr>
              <w:fldChar w:fldCharType="separate"/>
            </w:r>
            <w:r w:rsidR="00F23F87">
              <w:rPr>
                <w:noProof/>
                <w:webHidden/>
              </w:rPr>
              <w:t>8</w:t>
            </w:r>
            <w:r>
              <w:rPr>
                <w:noProof/>
                <w:webHidden/>
              </w:rPr>
              <w:fldChar w:fldCharType="end"/>
            </w:r>
          </w:hyperlink>
        </w:p>
        <w:p w14:paraId="16BDB5CF" w14:textId="319CF3F0" w:rsidR="00B416E8" w:rsidRDefault="00B416E8">
          <w:pPr>
            <w:pStyle w:val="Obsah1"/>
            <w:tabs>
              <w:tab w:val="right" w:leader="dot" w:pos="9520"/>
            </w:tabs>
            <w:rPr>
              <w:rFonts w:eastAsiaTheme="minorEastAsia" w:cstheme="minorBidi"/>
              <w:b w:val="0"/>
              <w:bCs w:val="0"/>
              <w:i w:val="0"/>
              <w:iCs w:val="0"/>
              <w:noProof/>
              <w:kern w:val="2"/>
              <w:lang w:val="fr-BE" w:eastAsia="fr-BE"/>
              <w14:ligatures w14:val="standardContextual"/>
            </w:rPr>
          </w:pPr>
          <w:hyperlink w:anchor="_Toc210988698" w:history="1">
            <w:r w:rsidRPr="00A36AA5">
              <w:rPr>
                <w:rStyle w:val="Hypertextovprepojenie"/>
                <w:noProof/>
              </w:rPr>
              <w:t>Limitations of Enforcement of the Regulation in the case of China</w:t>
            </w:r>
            <w:r>
              <w:rPr>
                <w:noProof/>
                <w:webHidden/>
              </w:rPr>
              <w:tab/>
            </w:r>
            <w:r>
              <w:rPr>
                <w:noProof/>
                <w:webHidden/>
              </w:rPr>
              <w:fldChar w:fldCharType="begin"/>
            </w:r>
            <w:r>
              <w:rPr>
                <w:noProof/>
                <w:webHidden/>
              </w:rPr>
              <w:instrText xml:space="preserve"> PAGEREF _Toc210988698 \h </w:instrText>
            </w:r>
            <w:r>
              <w:rPr>
                <w:noProof/>
                <w:webHidden/>
              </w:rPr>
            </w:r>
            <w:r>
              <w:rPr>
                <w:noProof/>
                <w:webHidden/>
              </w:rPr>
              <w:fldChar w:fldCharType="separate"/>
            </w:r>
            <w:r w:rsidR="00F23F87">
              <w:rPr>
                <w:noProof/>
                <w:webHidden/>
              </w:rPr>
              <w:t>9</w:t>
            </w:r>
            <w:r>
              <w:rPr>
                <w:noProof/>
                <w:webHidden/>
              </w:rPr>
              <w:fldChar w:fldCharType="end"/>
            </w:r>
          </w:hyperlink>
        </w:p>
        <w:p w14:paraId="06F47C4D" w14:textId="5A802114" w:rsidR="00B416E8" w:rsidRDefault="00B416E8">
          <w:pPr>
            <w:pStyle w:val="Obsah1"/>
            <w:tabs>
              <w:tab w:val="right" w:leader="dot" w:pos="9520"/>
            </w:tabs>
            <w:rPr>
              <w:rFonts w:eastAsiaTheme="minorEastAsia" w:cstheme="minorBidi"/>
              <w:b w:val="0"/>
              <w:bCs w:val="0"/>
              <w:i w:val="0"/>
              <w:iCs w:val="0"/>
              <w:noProof/>
              <w:kern w:val="2"/>
              <w:lang w:val="fr-BE" w:eastAsia="fr-BE"/>
              <w14:ligatures w14:val="standardContextual"/>
            </w:rPr>
          </w:pPr>
          <w:hyperlink w:anchor="_Toc210988699" w:history="1">
            <w:r w:rsidRPr="00A36AA5">
              <w:rPr>
                <w:rStyle w:val="Hypertextovprepojenie"/>
                <w:noProof/>
              </w:rPr>
              <w:t>Recommendations</w:t>
            </w:r>
            <w:r>
              <w:rPr>
                <w:noProof/>
                <w:webHidden/>
              </w:rPr>
              <w:tab/>
            </w:r>
            <w:r>
              <w:rPr>
                <w:noProof/>
                <w:webHidden/>
              </w:rPr>
              <w:fldChar w:fldCharType="begin"/>
            </w:r>
            <w:r>
              <w:rPr>
                <w:noProof/>
                <w:webHidden/>
              </w:rPr>
              <w:instrText xml:space="preserve"> PAGEREF _Toc210988699 \h </w:instrText>
            </w:r>
            <w:r>
              <w:rPr>
                <w:noProof/>
                <w:webHidden/>
              </w:rPr>
            </w:r>
            <w:r>
              <w:rPr>
                <w:noProof/>
                <w:webHidden/>
              </w:rPr>
              <w:fldChar w:fldCharType="separate"/>
            </w:r>
            <w:r w:rsidR="00F23F87">
              <w:rPr>
                <w:noProof/>
                <w:webHidden/>
              </w:rPr>
              <w:t>11</w:t>
            </w:r>
            <w:r>
              <w:rPr>
                <w:noProof/>
                <w:webHidden/>
              </w:rPr>
              <w:fldChar w:fldCharType="end"/>
            </w:r>
          </w:hyperlink>
        </w:p>
        <w:p w14:paraId="6C514EFE" w14:textId="1010DAB5" w:rsidR="00B416E8" w:rsidRDefault="00B416E8">
          <w:pPr>
            <w:pStyle w:val="Obsah1"/>
            <w:tabs>
              <w:tab w:val="right" w:leader="dot" w:pos="9520"/>
            </w:tabs>
            <w:rPr>
              <w:rFonts w:eastAsiaTheme="minorEastAsia" w:cstheme="minorBidi"/>
              <w:b w:val="0"/>
              <w:bCs w:val="0"/>
              <w:i w:val="0"/>
              <w:iCs w:val="0"/>
              <w:noProof/>
              <w:kern w:val="2"/>
              <w:lang w:val="fr-BE" w:eastAsia="fr-BE"/>
              <w14:ligatures w14:val="standardContextual"/>
            </w:rPr>
          </w:pPr>
          <w:hyperlink w:anchor="_Toc210988700" w:history="1">
            <w:r w:rsidRPr="00A36AA5">
              <w:rPr>
                <w:rStyle w:val="Hypertextovprepojenie"/>
                <w:noProof/>
              </w:rPr>
              <w:t>Bibliography</w:t>
            </w:r>
            <w:r>
              <w:rPr>
                <w:noProof/>
                <w:webHidden/>
              </w:rPr>
              <w:tab/>
            </w:r>
            <w:r>
              <w:rPr>
                <w:noProof/>
                <w:webHidden/>
              </w:rPr>
              <w:fldChar w:fldCharType="begin"/>
            </w:r>
            <w:r>
              <w:rPr>
                <w:noProof/>
                <w:webHidden/>
              </w:rPr>
              <w:instrText xml:space="preserve"> PAGEREF _Toc210988700 \h </w:instrText>
            </w:r>
            <w:r>
              <w:rPr>
                <w:noProof/>
                <w:webHidden/>
              </w:rPr>
            </w:r>
            <w:r>
              <w:rPr>
                <w:noProof/>
                <w:webHidden/>
              </w:rPr>
              <w:fldChar w:fldCharType="separate"/>
            </w:r>
            <w:r w:rsidR="00F23F87">
              <w:rPr>
                <w:noProof/>
                <w:webHidden/>
              </w:rPr>
              <w:t>13</w:t>
            </w:r>
            <w:r>
              <w:rPr>
                <w:noProof/>
                <w:webHidden/>
              </w:rPr>
              <w:fldChar w:fldCharType="end"/>
            </w:r>
          </w:hyperlink>
        </w:p>
        <w:p w14:paraId="065048E2" w14:textId="18066ED9" w:rsidR="00B416E8" w:rsidRDefault="00B416E8">
          <w:pPr>
            <w:pStyle w:val="Obsah1"/>
            <w:tabs>
              <w:tab w:val="right" w:leader="dot" w:pos="9520"/>
            </w:tabs>
            <w:rPr>
              <w:rFonts w:eastAsiaTheme="minorEastAsia" w:cstheme="minorBidi"/>
              <w:b w:val="0"/>
              <w:bCs w:val="0"/>
              <w:i w:val="0"/>
              <w:iCs w:val="0"/>
              <w:noProof/>
              <w:kern w:val="2"/>
              <w:lang w:val="fr-BE" w:eastAsia="fr-BE"/>
              <w14:ligatures w14:val="standardContextual"/>
            </w:rPr>
          </w:pPr>
          <w:hyperlink w:anchor="_Toc210988701" w:history="1">
            <w:r w:rsidRPr="00A36AA5">
              <w:rPr>
                <w:rStyle w:val="Hypertextovprepojenie"/>
                <w:noProof/>
              </w:rPr>
              <w:t>About EUROPEUM</w:t>
            </w:r>
            <w:r>
              <w:rPr>
                <w:noProof/>
                <w:webHidden/>
              </w:rPr>
              <w:tab/>
            </w:r>
            <w:r>
              <w:rPr>
                <w:noProof/>
                <w:webHidden/>
              </w:rPr>
              <w:fldChar w:fldCharType="begin"/>
            </w:r>
            <w:r>
              <w:rPr>
                <w:noProof/>
                <w:webHidden/>
              </w:rPr>
              <w:instrText xml:space="preserve"> PAGEREF _Toc210988701 \h </w:instrText>
            </w:r>
            <w:r>
              <w:rPr>
                <w:noProof/>
                <w:webHidden/>
              </w:rPr>
            </w:r>
            <w:r>
              <w:rPr>
                <w:noProof/>
                <w:webHidden/>
              </w:rPr>
              <w:fldChar w:fldCharType="separate"/>
            </w:r>
            <w:r w:rsidR="00F23F87">
              <w:rPr>
                <w:noProof/>
                <w:webHidden/>
              </w:rPr>
              <w:t>15</w:t>
            </w:r>
            <w:r>
              <w:rPr>
                <w:noProof/>
                <w:webHidden/>
              </w:rPr>
              <w:fldChar w:fldCharType="end"/>
            </w:r>
          </w:hyperlink>
        </w:p>
        <w:p w14:paraId="625005F4" w14:textId="5108BB13" w:rsidR="00ED7176" w:rsidRPr="00ED7176" w:rsidRDefault="00ED7176" w:rsidP="00661542">
          <w:r w:rsidRPr="0057619F">
            <w:rPr>
              <w:b/>
              <w:bCs/>
              <w:noProof/>
              <w:sz w:val="24"/>
              <w:szCs w:val="24"/>
            </w:rPr>
            <w:fldChar w:fldCharType="end"/>
          </w:r>
        </w:p>
      </w:sdtContent>
    </w:sdt>
    <w:p w14:paraId="33014585" w14:textId="77777777" w:rsidR="00483B9C" w:rsidRPr="00ED7176" w:rsidRDefault="00483B9C" w:rsidP="00661542">
      <w:pPr>
        <w:rPr>
          <w:lang w:val="en-GB"/>
        </w:rPr>
      </w:pPr>
    </w:p>
    <w:p w14:paraId="52D4DE06" w14:textId="77777777" w:rsidR="00ED7176" w:rsidRPr="00ED7176" w:rsidRDefault="00ED7176" w:rsidP="00661542">
      <w:pPr>
        <w:rPr>
          <w:lang w:val="en-GB"/>
        </w:rPr>
      </w:pPr>
    </w:p>
    <w:p w14:paraId="4B567CCC" w14:textId="77777777" w:rsidR="00483B9C" w:rsidRPr="00ED7176" w:rsidRDefault="00483B9C" w:rsidP="00661542">
      <w:pPr>
        <w:rPr>
          <w:lang w:val="en-GB"/>
        </w:rPr>
      </w:pPr>
    </w:p>
    <w:p w14:paraId="4FFE782C" w14:textId="77777777" w:rsidR="00483B9C" w:rsidRPr="00ED7176" w:rsidRDefault="00483B9C" w:rsidP="00661542">
      <w:pPr>
        <w:rPr>
          <w:lang w:val="en-GB"/>
        </w:rPr>
      </w:pPr>
    </w:p>
    <w:p w14:paraId="7055168F" w14:textId="77777777" w:rsidR="00ED7176" w:rsidRPr="00ED7176" w:rsidRDefault="00ED7176" w:rsidP="00661542">
      <w:pPr>
        <w:rPr>
          <w:sz w:val="32"/>
          <w:szCs w:val="32"/>
          <w:lang w:val="en-GB"/>
        </w:rPr>
      </w:pPr>
      <w:r w:rsidRPr="00ED7176">
        <w:rPr>
          <w:lang w:val="en-GB"/>
        </w:rPr>
        <w:br w:type="page"/>
      </w:r>
    </w:p>
    <w:p w14:paraId="23A52F2F" w14:textId="77777777" w:rsidR="00661542" w:rsidRPr="00661542" w:rsidRDefault="00661542" w:rsidP="00661542">
      <w:pPr>
        <w:rPr>
          <w:lang w:val="en-GB"/>
        </w:rPr>
      </w:pPr>
    </w:p>
    <w:p w14:paraId="130FDBE5" w14:textId="77777777" w:rsidR="00483B9C" w:rsidRPr="00661542" w:rsidRDefault="00483B9C" w:rsidP="00661542">
      <w:pPr>
        <w:pStyle w:val="Nadpis1"/>
      </w:pPr>
      <w:bookmarkStart w:id="0" w:name="_Toc210988693"/>
      <w:r w:rsidRPr="00661542">
        <w:t>Introduction</w:t>
      </w:r>
      <w:bookmarkEnd w:id="0"/>
    </w:p>
    <w:p w14:paraId="46D8809F" w14:textId="77777777" w:rsidR="000A6F0D" w:rsidRDefault="00EE4109" w:rsidP="000A6F0D">
      <w:pPr>
        <w:rPr>
          <w:rFonts w:cs="Times New Roman"/>
          <w:lang w:val="en-GB"/>
        </w:rPr>
      </w:pPr>
      <w:r>
        <w:rPr>
          <w:lang w:val="en-GB"/>
        </w:rPr>
        <w:br/>
      </w:r>
      <w:r w:rsidR="000A6F0D" w:rsidRPr="00646432">
        <w:rPr>
          <w:rFonts w:cs="Times New Roman"/>
          <w:lang w:val="en-GB"/>
        </w:rPr>
        <w:t>On 27 November 2024, the European Parliament adopted Regulation 2024/3015 prohibiting products made with forced labour on the Union market and amending Directive (EU) 2019/1937 (hereinafter FLP or Regulation) (European Union 2024). The Regulation, which will enter into force on 14 December 2027, bans the import and sale of all products linked to forced labour at any stage of the supply chain (Article 2). Where forced labour is suspected within the European Union, investigations will be carried out by national authorities; where it is suspected outside the EU, investigations will be conducted by the European Commission.</w:t>
      </w:r>
    </w:p>
    <w:p w14:paraId="1C995A3A" w14:textId="77777777" w:rsidR="00672F4D" w:rsidRPr="00646432" w:rsidRDefault="00672F4D" w:rsidP="000A6F0D">
      <w:pPr>
        <w:rPr>
          <w:rFonts w:cs="Times New Roman"/>
          <w:lang w:val="en-GB"/>
        </w:rPr>
      </w:pPr>
    </w:p>
    <w:p w14:paraId="7ACB201C" w14:textId="77777777" w:rsidR="000A6F0D" w:rsidRDefault="000A6F0D" w:rsidP="000A6F0D">
      <w:pPr>
        <w:rPr>
          <w:rFonts w:cs="Times New Roman"/>
          <w:lang w:val="en-GB"/>
        </w:rPr>
      </w:pPr>
      <w:r w:rsidRPr="00646432">
        <w:rPr>
          <w:rFonts w:cs="Times New Roman"/>
          <w:lang w:val="en-GB"/>
        </w:rPr>
        <w:t>This policy paper discusses the problematic aspects of enforcing the regulation, with a specific focus on products originating from Xinjiang. While Xinjiang is not the only region with a high risk of forced labour, it is a</w:t>
      </w:r>
      <w:r>
        <w:rPr>
          <w:rFonts w:cs="Times New Roman"/>
          <w:lang w:val="en-GB"/>
        </w:rPr>
        <w:t>n</w:t>
      </w:r>
      <w:r w:rsidRPr="00646432">
        <w:rPr>
          <w:rFonts w:cs="Times New Roman"/>
          <w:lang w:val="en-GB"/>
        </w:rPr>
        <w:t xml:space="preserve"> important case for several reasons. First, forced labour practices in the region have already been proven by strong evidence and acknowledged by the International Labour Organization (ILO) (ILO 2025)</w:t>
      </w:r>
      <w:r>
        <w:rPr>
          <w:rFonts w:cs="Times New Roman"/>
          <w:lang w:val="en-GB"/>
        </w:rPr>
        <w:t xml:space="preserve"> </w:t>
      </w:r>
      <w:r w:rsidRPr="00646432">
        <w:rPr>
          <w:rFonts w:cs="Times New Roman"/>
          <w:lang w:val="en-GB"/>
        </w:rPr>
        <w:t>and the United Nations (UN) (OHCHR 2022). Second, Xinjiang is a major source of significant global supplies of key products and materials, including solar panels, critical raw materials, aluminium, PVC, and cotton. Third, forced labour in Xinjiang often takes the form of non-internment state-organised mobilization which makes it difficult to identify in individual cases</w:t>
      </w:r>
      <w:r>
        <w:rPr>
          <w:rFonts w:cs="Times New Roman"/>
          <w:lang w:val="en-GB"/>
        </w:rPr>
        <w:t xml:space="preserve"> (Zenz 2023). </w:t>
      </w:r>
    </w:p>
    <w:p w14:paraId="718A3FAA" w14:textId="77777777" w:rsidR="00672F4D" w:rsidRPr="00646432" w:rsidRDefault="00672F4D" w:rsidP="000A6F0D">
      <w:pPr>
        <w:rPr>
          <w:rFonts w:cs="Times New Roman"/>
          <w:lang w:val="en-GB"/>
        </w:rPr>
      </w:pPr>
    </w:p>
    <w:p w14:paraId="5D9BD5E5" w14:textId="77777777" w:rsidR="000A6F0D" w:rsidRDefault="000A6F0D" w:rsidP="000A6F0D">
      <w:pPr>
        <w:rPr>
          <w:rFonts w:cs="Times New Roman"/>
          <w:lang w:val="en-GB"/>
        </w:rPr>
      </w:pPr>
      <w:r w:rsidRPr="00646432">
        <w:rPr>
          <w:rFonts w:cs="Times New Roman"/>
          <w:lang w:val="en-GB"/>
        </w:rPr>
        <w:t>The methodology of this study combines desk research of investigative reports with eleven interviews conducted with representatives of EU institutions and think tanks. The interviews were semi-structured, lasted 45 to 60 minutes, and were conducted both in person and remotely via online video communication</w:t>
      </w:r>
      <w:r>
        <w:rPr>
          <w:rFonts w:cs="Times New Roman"/>
          <w:lang w:val="en-GB"/>
        </w:rPr>
        <w:t xml:space="preserve"> </w:t>
      </w:r>
      <w:r w:rsidRPr="00646432">
        <w:rPr>
          <w:rFonts w:cs="Times New Roman"/>
          <w:lang w:val="en-GB"/>
        </w:rPr>
        <w:t>(see Table 1).</w:t>
      </w:r>
    </w:p>
    <w:p w14:paraId="5A0DD39E" w14:textId="77777777" w:rsidR="000A6F0D" w:rsidRDefault="000A6F0D" w:rsidP="000A6F0D">
      <w:pPr>
        <w:rPr>
          <w:rFonts w:cs="Times New Roman"/>
          <w:lang w:val="en-GB"/>
        </w:rPr>
      </w:pPr>
    </w:p>
    <w:p w14:paraId="25C568DC" w14:textId="636B9EB9" w:rsidR="000A6F0D" w:rsidRPr="00F23F87" w:rsidRDefault="000A6F0D" w:rsidP="00F23F87">
      <w:pPr>
        <w:jc w:val="center"/>
        <w:rPr>
          <w:rFonts w:cs="Times New Roman"/>
          <w:i/>
          <w:iCs/>
          <w:lang w:val="en-GB"/>
        </w:rPr>
      </w:pPr>
      <w:r w:rsidRPr="00F23F87">
        <w:rPr>
          <w:rFonts w:cs="Times New Roman"/>
          <w:i/>
          <w:iCs/>
          <w:lang w:val="en-GB"/>
        </w:rPr>
        <w:t>Table 1: The characterization of respondents in interviews</w:t>
      </w:r>
    </w:p>
    <w:p w14:paraId="6C0B47A3" w14:textId="77777777" w:rsidR="000A6F0D" w:rsidRDefault="000A6F0D" w:rsidP="000A6F0D">
      <w:pPr>
        <w:rPr>
          <w:rFonts w:cs="Times New Roman"/>
          <w:lang w:val="en-GB"/>
        </w:rPr>
      </w:pPr>
    </w:p>
    <w:tbl>
      <w:tblPr>
        <w:tblStyle w:val="Mriekatabuky"/>
        <w:tblpPr w:leftFromText="141" w:rightFromText="141" w:vertAnchor="text" w:horzAnchor="margin" w:tblpY="163"/>
        <w:tblW w:w="0" w:type="auto"/>
        <w:tblLook w:val="04A0" w:firstRow="1" w:lastRow="0" w:firstColumn="1" w:lastColumn="0" w:noHBand="0" w:noVBand="1"/>
      </w:tblPr>
      <w:tblGrid>
        <w:gridCol w:w="4322"/>
        <w:gridCol w:w="4380"/>
      </w:tblGrid>
      <w:tr w:rsidR="000A6F0D" w:rsidRPr="000A6F0D" w14:paraId="42CD1E25" w14:textId="77777777" w:rsidTr="00A72A55">
        <w:tc>
          <w:tcPr>
            <w:tcW w:w="4322" w:type="dxa"/>
          </w:tcPr>
          <w:p w14:paraId="5BA2CAE2" w14:textId="77777777" w:rsidR="000A6F0D" w:rsidRPr="000A6F0D" w:rsidRDefault="000A6F0D" w:rsidP="000A6F0D">
            <w:pPr>
              <w:rPr>
                <w:rFonts w:cs="Times New Roman"/>
                <w:lang w:val="en-GB"/>
              </w:rPr>
            </w:pPr>
            <w:r w:rsidRPr="000A6F0D">
              <w:rPr>
                <w:rFonts w:cs="Times New Roman"/>
                <w:lang w:val="en-GB"/>
              </w:rPr>
              <w:t>Member of the European Parliament</w:t>
            </w:r>
          </w:p>
        </w:tc>
        <w:tc>
          <w:tcPr>
            <w:tcW w:w="4380" w:type="dxa"/>
          </w:tcPr>
          <w:p w14:paraId="0F4E1D77" w14:textId="77777777" w:rsidR="000A6F0D" w:rsidRPr="000A6F0D" w:rsidRDefault="000A6F0D" w:rsidP="000A6F0D">
            <w:pPr>
              <w:rPr>
                <w:rFonts w:cs="Times New Roman"/>
                <w:lang w:val="en-GB"/>
              </w:rPr>
            </w:pPr>
            <w:r w:rsidRPr="000A6F0D">
              <w:rPr>
                <w:rFonts w:cs="Times New Roman"/>
                <w:lang w:val="en-GB"/>
              </w:rPr>
              <w:t>Respondent 1</w:t>
            </w:r>
          </w:p>
        </w:tc>
      </w:tr>
      <w:tr w:rsidR="000A6F0D" w:rsidRPr="000A6F0D" w14:paraId="11AEFDCC" w14:textId="77777777" w:rsidTr="00A72A55">
        <w:tc>
          <w:tcPr>
            <w:tcW w:w="4322" w:type="dxa"/>
          </w:tcPr>
          <w:p w14:paraId="520A48F5" w14:textId="77777777" w:rsidR="000A6F0D" w:rsidRPr="000A6F0D" w:rsidRDefault="000A6F0D" w:rsidP="000A6F0D">
            <w:pPr>
              <w:rPr>
                <w:rFonts w:cs="Times New Roman"/>
                <w:lang w:val="en-GB"/>
              </w:rPr>
            </w:pPr>
            <w:r w:rsidRPr="000A6F0D">
              <w:rPr>
                <w:rFonts w:cs="Times New Roman"/>
                <w:lang w:val="en-GB"/>
              </w:rPr>
              <w:t>Member of the European Parliament</w:t>
            </w:r>
          </w:p>
        </w:tc>
        <w:tc>
          <w:tcPr>
            <w:tcW w:w="4380" w:type="dxa"/>
          </w:tcPr>
          <w:p w14:paraId="6F9DBED6" w14:textId="77777777" w:rsidR="000A6F0D" w:rsidRPr="000A6F0D" w:rsidRDefault="000A6F0D" w:rsidP="000A6F0D">
            <w:pPr>
              <w:rPr>
                <w:rFonts w:cs="Times New Roman"/>
                <w:lang w:val="en-GB"/>
              </w:rPr>
            </w:pPr>
            <w:r w:rsidRPr="000A6F0D">
              <w:rPr>
                <w:rFonts w:cs="Times New Roman"/>
                <w:lang w:val="en-GB"/>
              </w:rPr>
              <w:t>Respondent 2</w:t>
            </w:r>
          </w:p>
        </w:tc>
      </w:tr>
      <w:tr w:rsidR="000A6F0D" w:rsidRPr="000A6F0D" w14:paraId="6B474057" w14:textId="77777777" w:rsidTr="00A72A55">
        <w:tc>
          <w:tcPr>
            <w:tcW w:w="4322" w:type="dxa"/>
          </w:tcPr>
          <w:p w14:paraId="014B3DE0" w14:textId="77777777" w:rsidR="000A6F0D" w:rsidRPr="000A6F0D" w:rsidRDefault="000A6F0D" w:rsidP="000A6F0D">
            <w:pPr>
              <w:rPr>
                <w:rFonts w:cs="Times New Roman"/>
                <w:lang w:val="en-GB"/>
              </w:rPr>
            </w:pPr>
            <w:r w:rsidRPr="000A6F0D">
              <w:rPr>
                <w:rFonts w:cs="Times New Roman"/>
                <w:lang w:val="en-GB"/>
              </w:rPr>
              <w:t xml:space="preserve">Representative of the EU institution </w:t>
            </w:r>
          </w:p>
        </w:tc>
        <w:tc>
          <w:tcPr>
            <w:tcW w:w="4380" w:type="dxa"/>
          </w:tcPr>
          <w:p w14:paraId="3E9167C8" w14:textId="77777777" w:rsidR="000A6F0D" w:rsidRPr="000A6F0D" w:rsidRDefault="000A6F0D" w:rsidP="000A6F0D">
            <w:pPr>
              <w:rPr>
                <w:rFonts w:cs="Times New Roman"/>
                <w:lang w:val="en-GB"/>
              </w:rPr>
            </w:pPr>
            <w:r w:rsidRPr="000A6F0D">
              <w:rPr>
                <w:rFonts w:cs="Times New Roman"/>
                <w:lang w:val="en-GB"/>
              </w:rPr>
              <w:t>Respondent 3</w:t>
            </w:r>
          </w:p>
        </w:tc>
      </w:tr>
      <w:tr w:rsidR="000A6F0D" w:rsidRPr="000A6F0D" w14:paraId="1FB5B7EE" w14:textId="77777777" w:rsidTr="00A72A55">
        <w:tc>
          <w:tcPr>
            <w:tcW w:w="4322" w:type="dxa"/>
          </w:tcPr>
          <w:p w14:paraId="277C495C" w14:textId="77777777" w:rsidR="000A6F0D" w:rsidRPr="000A6F0D" w:rsidRDefault="000A6F0D" w:rsidP="000A6F0D">
            <w:pPr>
              <w:rPr>
                <w:rFonts w:cs="Times New Roman"/>
                <w:lang w:val="en-GB"/>
              </w:rPr>
            </w:pPr>
            <w:r w:rsidRPr="000A6F0D">
              <w:rPr>
                <w:rFonts w:cs="Times New Roman"/>
                <w:lang w:val="en-GB"/>
              </w:rPr>
              <w:t>Representative of the EU institution</w:t>
            </w:r>
          </w:p>
        </w:tc>
        <w:tc>
          <w:tcPr>
            <w:tcW w:w="4380" w:type="dxa"/>
          </w:tcPr>
          <w:p w14:paraId="66171CB8" w14:textId="77777777" w:rsidR="000A6F0D" w:rsidRPr="000A6F0D" w:rsidRDefault="000A6F0D" w:rsidP="000A6F0D">
            <w:pPr>
              <w:rPr>
                <w:rFonts w:cs="Times New Roman"/>
                <w:lang w:val="en-GB"/>
              </w:rPr>
            </w:pPr>
            <w:r w:rsidRPr="000A6F0D">
              <w:rPr>
                <w:rFonts w:cs="Times New Roman"/>
                <w:lang w:val="en-GB"/>
              </w:rPr>
              <w:t xml:space="preserve">Respondent 4 </w:t>
            </w:r>
          </w:p>
        </w:tc>
      </w:tr>
      <w:tr w:rsidR="000A6F0D" w:rsidRPr="000A6F0D" w14:paraId="3F8D9392" w14:textId="77777777" w:rsidTr="00A72A55">
        <w:tc>
          <w:tcPr>
            <w:tcW w:w="4322" w:type="dxa"/>
          </w:tcPr>
          <w:p w14:paraId="195DED52" w14:textId="77777777" w:rsidR="000A6F0D" w:rsidRPr="000A6F0D" w:rsidRDefault="000A6F0D" w:rsidP="000A6F0D">
            <w:pPr>
              <w:rPr>
                <w:rFonts w:cs="Times New Roman"/>
                <w:lang w:val="en-GB"/>
              </w:rPr>
            </w:pPr>
            <w:r w:rsidRPr="000A6F0D">
              <w:rPr>
                <w:rFonts w:cs="Times New Roman"/>
                <w:lang w:val="en-GB"/>
              </w:rPr>
              <w:t>Representative of the EU institution</w:t>
            </w:r>
          </w:p>
        </w:tc>
        <w:tc>
          <w:tcPr>
            <w:tcW w:w="4380" w:type="dxa"/>
          </w:tcPr>
          <w:p w14:paraId="43661DAF" w14:textId="77777777" w:rsidR="000A6F0D" w:rsidRPr="000A6F0D" w:rsidRDefault="000A6F0D" w:rsidP="000A6F0D">
            <w:pPr>
              <w:rPr>
                <w:rFonts w:cs="Times New Roman"/>
                <w:lang w:val="en-GB"/>
              </w:rPr>
            </w:pPr>
            <w:r w:rsidRPr="000A6F0D">
              <w:rPr>
                <w:rFonts w:cs="Times New Roman"/>
                <w:lang w:val="en-GB"/>
              </w:rPr>
              <w:t>Respondent 5</w:t>
            </w:r>
          </w:p>
        </w:tc>
      </w:tr>
      <w:tr w:rsidR="000A6F0D" w:rsidRPr="000A6F0D" w14:paraId="145521BF" w14:textId="77777777" w:rsidTr="00A72A55">
        <w:tc>
          <w:tcPr>
            <w:tcW w:w="4322" w:type="dxa"/>
          </w:tcPr>
          <w:p w14:paraId="35632F71" w14:textId="77777777" w:rsidR="000A6F0D" w:rsidRPr="000A6F0D" w:rsidRDefault="000A6F0D" w:rsidP="000A6F0D">
            <w:pPr>
              <w:rPr>
                <w:rFonts w:cs="Times New Roman"/>
                <w:lang w:val="en-GB"/>
              </w:rPr>
            </w:pPr>
            <w:r w:rsidRPr="000A6F0D">
              <w:rPr>
                <w:rFonts w:cs="Times New Roman"/>
                <w:lang w:val="en-GB"/>
              </w:rPr>
              <w:t>Representative of Czech mission in the EU</w:t>
            </w:r>
          </w:p>
        </w:tc>
        <w:tc>
          <w:tcPr>
            <w:tcW w:w="4380" w:type="dxa"/>
          </w:tcPr>
          <w:p w14:paraId="391FCF01" w14:textId="77777777" w:rsidR="000A6F0D" w:rsidRPr="000A6F0D" w:rsidRDefault="000A6F0D" w:rsidP="000A6F0D">
            <w:pPr>
              <w:rPr>
                <w:rFonts w:cs="Times New Roman"/>
                <w:lang w:val="en-GB"/>
              </w:rPr>
            </w:pPr>
            <w:r w:rsidRPr="000A6F0D">
              <w:rPr>
                <w:rFonts w:cs="Times New Roman"/>
                <w:lang w:val="en-GB"/>
              </w:rPr>
              <w:t>Respondent 6</w:t>
            </w:r>
          </w:p>
        </w:tc>
      </w:tr>
      <w:tr w:rsidR="000A6F0D" w:rsidRPr="000A6F0D" w14:paraId="6F3EDC5E" w14:textId="77777777" w:rsidTr="00A72A55">
        <w:tc>
          <w:tcPr>
            <w:tcW w:w="4322" w:type="dxa"/>
          </w:tcPr>
          <w:p w14:paraId="20FC61B3" w14:textId="77777777" w:rsidR="000A6F0D" w:rsidRPr="000A6F0D" w:rsidRDefault="000A6F0D" w:rsidP="000A6F0D">
            <w:pPr>
              <w:rPr>
                <w:rFonts w:cs="Times New Roman"/>
                <w:lang w:val="en-GB"/>
              </w:rPr>
            </w:pPr>
            <w:r w:rsidRPr="000A6F0D">
              <w:rPr>
                <w:rFonts w:cs="Times New Roman"/>
                <w:lang w:val="en-GB"/>
              </w:rPr>
              <w:t>Academic researcher focusing on the topic</w:t>
            </w:r>
          </w:p>
        </w:tc>
        <w:tc>
          <w:tcPr>
            <w:tcW w:w="4380" w:type="dxa"/>
          </w:tcPr>
          <w:p w14:paraId="0D3CC42E" w14:textId="77777777" w:rsidR="000A6F0D" w:rsidRPr="000A6F0D" w:rsidRDefault="000A6F0D" w:rsidP="000A6F0D">
            <w:pPr>
              <w:rPr>
                <w:rFonts w:cs="Times New Roman"/>
                <w:lang w:val="en-GB"/>
              </w:rPr>
            </w:pPr>
            <w:r w:rsidRPr="000A6F0D">
              <w:rPr>
                <w:rFonts w:cs="Times New Roman"/>
                <w:lang w:val="en-GB"/>
              </w:rPr>
              <w:t>Respondent 7</w:t>
            </w:r>
          </w:p>
        </w:tc>
      </w:tr>
      <w:tr w:rsidR="000A6F0D" w:rsidRPr="000A6F0D" w14:paraId="65E62413" w14:textId="77777777" w:rsidTr="00A72A55">
        <w:tc>
          <w:tcPr>
            <w:tcW w:w="4322" w:type="dxa"/>
          </w:tcPr>
          <w:p w14:paraId="5999032C" w14:textId="77777777" w:rsidR="000A6F0D" w:rsidRPr="000A6F0D" w:rsidRDefault="000A6F0D" w:rsidP="000A6F0D">
            <w:pPr>
              <w:rPr>
                <w:rFonts w:cs="Times New Roman"/>
                <w:lang w:val="en-GB"/>
              </w:rPr>
            </w:pPr>
            <w:r w:rsidRPr="000A6F0D">
              <w:rPr>
                <w:rFonts w:cs="Times New Roman"/>
                <w:lang w:val="en-GB"/>
              </w:rPr>
              <w:t>Academic researcher focusing on the topic</w:t>
            </w:r>
          </w:p>
        </w:tc>
        <w:tc>
          <w:tcPr>
            <w:tcW w:w="4380" w:type="dxa"/>
          </w:tcPr>
          <w:p w14:paraId="5E1BA718" w14:textId="77777777" w:rsidR="000A6F0D" w:rsidRPr="000A6F0D" w:rsidRDefault="000A6F0D" w:rsidP="000A6F0D">
            <w:pPr>
              <w:rPr>
                <w:rFonts w:cs="Times New Roman"/>
                <w:lang w:val="en-GB"/>
              </w:rPr>
            </w:pPr>
            <w:r w:rsidRPr="000A6F0D">
              <w:rPr>
                <w:rFonts w:cs="Times New Roman"/>
                <w:lang w:val="en-GB"/>
              </w:rPr>
              <w:t>Respondent 8</w:t>
            </w:r>
          </w:p>
        </w:tc>
      </w:tr>
      <w:tr w:rsidR="000A6F0D" w:rsidRPr="000A6F0D" w14:paraId="4A8FC909" w14:textId="77777777" w:rsidTr="00A72A55">
        <w:tc>
          <w:tcPr>
            <w:tcW w:w="4322" w:type="dxa"/>
          </w:tcPr>
          <w:p w14:paraId="4902DD5F" w14:textId="77777777" w:rsidR="000A6F0D" w:rsidRPr="000A6F0D" w:rsidRDefault="000A6F0D" w:rsidP="000A6F0D">
            <w:pPr>
              <w:rPr>
                <w:rFonts w:cs="Times New Roman"/>
                <w:lang w:val="en-GB"/>
              </w:rPr>
            </w:pPr>
            <w:r w:rsidRPr="000A6F0D">
              <w:rPr>
                <w:rFonts w:cs="Times New Roman"/>
                <w:lang w:val="en-GB"/>
              </w:rPr>
              <w:t>Academic researcher focusing on the topic</w:t>
            </w:r>
          </w:p>
        </w:tc>
        <w:tc>
          <w:tcPr>
            <w:tcW w:w="4380" w:type="dxa"/>
          </w:tcPr>
          <w:p w14:paraId="0DF351A4" w14:textId="77777777" w:rsidR="000A6F0D" w:rsidRPr="000A6F0D" w:rsidRDefault="000A6F0D" w:rsidP="000A6F0D">
            <w:pPr>
              <w:rPr>
                <w:rFonts w:cs="Times New Roman"/>
                <w:lang w:val="en-GB"/>
              </w:rPr>
            </w:pPr>
            <w:r w:rsidRPr="000A6F0D">
              <w:rPr>
                <w:rFonts w:cs="Times New Roman"/>
                <w:lang w:val="en-GB"/>
              </w:rPr>
              <w:t>Respondent 9</w:t>
            </w:r>
          </w:p>
        </w:tc>
      </w:tr>
      <w:tr w:rsidR="000A6F0D" w:rsidRPr="000A6F0D" w14:paraId="3AA868A6" w14:textId="77777777" w:rsidTr="00A72A55">
        <w:tc>
          <w:tcPr>
            <w:tcW w:w="4322" w:type="dxa"/>
          </w:tcPr>
          <w:p w14:paraId="09202A8D" w14:textId="77777777" w:rsidR="000A6F0D" w:rsidRPr="000A6F0D" w:rsidRDefault="000A6F0D" w:rsidP="000A6F0D">
            <w:pPr>
              <w:rPr>
                <w:rFonts w:cs="Times New Roman"/>
                <w:lang w:val="en-GB"/>
              </w:rPr>
            </w:pPr>
            <w:r w:rsidRPr="000A6F0D">
              <w:rPr>
                <w:rFonts w:cs="Times New Roman"/>
                <w:lang w:val="en-GB"/>
              </w:rPr>
              <w:t>Representative of think tank focusing on the topic</w:t>
            </w:r>
          </w:p>
        </w:tc>
        <w:tc>
          <w:tcPr>
            <w:tcW w:w="4380" w:type="dxa"/>
          </w:tcPr>
          <w:p w14:paraId="320D1341" w14:textId="77777777" w:rsidR="000A6F0D" w:rsidRPr="000A6F0D" w:rsidRDefault="000A6F0D" w:rsidP="000A6F0D">
            <w:pPr>
              <w:rPr>
                <w:rFonts w:cs="Times New Roman"/>
                <w:lang w:val="en-GB"/>
              </w:rPr>
            </w:pPr>
            <w:r w:rsidRPr="000A6F0D">
              <w:rPr>
                <w:rFonts w:cs="Times New Roman"/>
                <w:lang w:val="en-GB"/>
              </w:rPr>
              <w:t>Respondent 10</w:t>
            </w:r>
          </w:p>
        </w:tc>
      </w:tr>
      <w:tr w:rsidR="000A6F0D" w:rsidRPr="000A6F0D" w14:paraId="081F28DD" w14:textId="77777777" w:rsidTr="00A72A55">
        <w:tc>
          <w:tcPr>
            <w:tcW w:w="4322" w:type="dxa"/>
          </w:tcPr>
          <w:p w14:paraId="69C37F72" w14:textId="77777777" w:rsidR="000A6F0D" w:rsidRPr="000A6F0D" w:rsidRDefault="000A6F0D" w:rsidP="000A6F0D">
            <w:pPr>
              <w:rPr>
                <w:rFonts w:cs="Times New Roman"/>
                <w:lang w:val="en-GB"/>
              </w:rPr>
            </w:pPr>
            <w:r w:rsidRPr="000A6F0D">
              <w:rPr>
                <w:rFonts w:cs="Times New Roman"/>
                <w:lang w:val="en-GB"/>
              </w:rPr>
              <w:t>Representative of think tank focusing on the topic</w:t>
            </w:r>
          </w:p>
        </w:tc>
        <w:tc>
          <w:tcPr>
            <w:tcW w:w="4380" w:type="dxa"/>
          </w:tcPr>
          <w:p w14:paraId="0BFD1BC6" w14:textId="77777777" w:rsidR="000A6F0D" w:rsidRPr="000A6F0D" w:rsidRDefault="000A6F0D" w:rsidP="000A6F0D">
            <w:pPr>
              <w:rPr>
                <w:rFonts w:cs="Times New Roman"/>
                <w:lang w:val="en-GB"/>
              </w:rPr>
            </w:pPr>
            <w:r w:rsidRPr="000A6F0D">
              <w:rPr>
                <w:rFonts w:cs="Times New Roman"/>
                <w:lang w:val="en-GB"/>
              </w:rPr>
              <w:t>Respondent 11</w:t>
            </w:r>
          </w:p>
        </w:tc>
      </w:tr>
    </w:tbl>
    <w:p w14:paraId="27403196" w14:textId="77777777" w:rsidR="000A6F0D" w:rsidRDefault="000A6F0D" w:rsidP="000A6F0D">
      <w:pPr>
        <w:rPr>
          <w:rFonts w:cs="Times New Roman"/>
          <w:lang w:val="en-GB"/>
        </w:rPr>
      </w:pPr>
    </w:p>
    <w:p w14:paraId="4F5608EC" w14:textId="77777777" w:rsidR="000A6F0D" w:rsidRPr="00646432" w:rsidRDefault="000A6F0D" w:rsidP="000A6F0D">
      <w:pPr>
        <w:rPr>
          <w:rFonts w:cs="Times New Roman"/>
          <w:lang w:val="en-GB"/>
        </w:rPr>
      </w:pPr>
    </w:p>
    <w:p w14:paraId="04E023AD" w14:textId="503DF103" w:rsidR="000A6F0D" w:rsidRPr="00646432" w:rsidRDefault="000A6F0D" w:rsidP="000A6F0D">
      <w:pPr>
        <w:rPr>
          <w:rFonts w:cs="Times New Roman"/>
          <w:lang w:val="en-GB"/>
        </w:rPr>
      </w:pPr>
    </w:p>
    <w:p w14:paraId="459457DF" w14:textId="3E69989E" w:rsidR="00044B43" w:rsidRPr="000A6F0D" w:rsidRDefault="00044B43" w:rsidP="00661542">
      <w:pPr>
        <w:rPr>
          <w:lang w:val="en-GB"/>
        </w:rPr>
      </w:pPr>
    </w:p>
    <w:p w14:paraId="73550BB3" w14:textId="77777777" w:rsidR="000A6F0D" w:rsidRDefault="000A6F0D" w:rsidP="00661542">
      <w:pPr>
        <w:pStyle w:val="Nadpis1"/>
      </w:pPr>
    </w:p>
    <w:p w14:paraId="6AC195D6" w14:textId="77777777" w:rsidR="000A6F0D" w:rsidRDefault="000A6F0D" w:rsidP="00661542">
      <w:pPr>
        <w:pStyle w:val="Nadpis1"/>
      </w:pPr>
    </w:p>
    <w:p w14:paraId="12D8E24E" w14:textId="77777777" w:rsidR="000A6F0D" w:rsidRDefault="000A6F0D" w:rsidP="00661542">
      <w:pPr>
        <w:pStyle w:val="Nadpis1"/>
      </w:pPr>
    </w:p>
    <w:p w14:paraId="1C44B612" w14:textId="77777777" w:rsidR="000A6F0D" w:rsidRDefault="000A6F0D" w:rsidP="00661542">
      <w:pPr>
        <w:pStyle w:val="Nadpis1"/>
      </w:pPr>
    </w:p>
    <w:p w14:paraId="72535A01" w14:textId="77777777" w:rsidR="000A6F0D" w:rsidRDefault="000A6F0D" w:rsidP="00661542">
      <w:pPr>
        <w:pStyle w:val="Nadpis1"/>
      </w:pPr>
    </w:p>
    <w:p w14:paraId="5659D9DF" w14:textId="77777777" w:rsidR="000A6F0D" w:rsidRDefault="000A6F0D" w:rsidP="00661542">
      <w:pPr>
        <w:pStyle w:val="Nadpis1"/>
      </w:pPr>
    </w:p>
    <w:p w14:paraId="637B35DB" w14:textId="77777777" w:rsidR="000A6F0D" w:rsidRDefault="000A6F0D" w:rsidP="00661542">
      <w:pPr>
        <w:pStyle w:val="Nadpis1"/>
      </w:pPr>
    </w:p>
    <w:p w14:paraId="64791719" w14:textId="77777777" w:rsidR="000A6F0D" w:rsidRDefault="000A6F0D" w:rsidP="00661542">
      <w:pPr>
        <w:pStyle w:val="Nadpis1"/>
      </w:pPr>
    </w:p>
    <w:p w14:paraId="599EAD5A" w14:textId="77777777" w:rsidR="000A6F0D" w:rsidRDefault="000A6F0D" w:rsidP="00661542">
      <w:pPr>
        <w:pStyle w:val="Nadpis1"/>
      </w:pPr>
    </w:p>
    <w:p w14:paraId="75774D66" w14:textId="77777777" w:rsidR="000A6F0D" w:rsidRDefault="000A6F0D" w:rsidP="00661542">
      <w:pPr>
        <w:pStyle w:val="Nadpis1"/>
      </w:pPr>
    </w:p>
    <w:p w14:paraId="69E86203" w14:textId="77777777" w:rsidR="000A6F0D" w:rsidRDefault="000A6F0D" w:rsidP="00661542">
      <w:pPr>
        <w:pStyle w:val="Nadpis1"/>
      </w:pPr>
    </w:p>
    <w:p w14:paraId="429F9625" w14:textId="77777777" w:rsidR="000A6F0D" w:rsidRDefault="000A6F0D" w:rsidP="00661542">
      <w:pPr>
        <w:pStyle w:val="Nadpis1"/>
      </w:pPr>
    </w:p>
    <w:p w14:paraId="14F53162" w14:textId="77777777" w:rsidR="000A6F0D" w:rsidRDefault="000A6F0D" w:rsidP="00661542">
      <w:pPr>
        <w:pStyle w:val="Nadpis1"/>
      </w:pPr>
    </w:p>
    <w:p w14:paraId="111CB622" w14:textId="77777777" w:rsidR="000A6F0D" w:rsidRDefault="000A6F0D" w:rsidP="00661542">
      <w:pPr>
        <w:pStyle w:val="Nadpis1"/>
      </w:pPr>
    </w:p>
    <w:p w14:paraId="1FBFE2CB" w14:textId="77777777" w:rsidR="000A6F0D" w:rsidRPr="00646432" w:rsidRDefault="000A6F0D" w:rsidP="000A6F0D">
      <w:pPr>
        <w:pStyle w:val="Nadpis1"/>
      </w:pPr>
      <w:bookmarkStart w:id="1" w:name="_Toc210988694"/>
      <w:r w:rsidRPr="00646432">
        <w:t>EU Forced Labour Regulation</w:t>
      </w:r>
      <w:bookmarkEnd w:id="1"/>
    </w:p>
    <w:p w14:paraId="03297F1C" w14:textId="77777777" w:rsidR="000A6F0D" w:rsidRDefault="000A6F0D" w:rsidP="00661542">
      <w:pPr>
        <w:pStyle w:val="Nadpis1"/>
      </w:pPr>
    </w:p>
    <w:p w14:paraId="22736FC3" w14:textId="77777777" w:rsidR="000A6F0D" w:rsidRDefault="000A6F0D" w:rsidP="000A6F0D">
      <w:pPr>
        <w:rPr>
          <w:rFonts w:cs="Times New Roman"/>
          <w:lang w:val="en-GB"/>
        </w:rPr>
      </w:pPr>
      <w:r w:rsidRPr="00646432">
        <w:rPr>
          <w:rFonts w:cs="Times New Roman"/>
          <w:lang w:val="en-GB"/>
        </w:rPr>
        <w:t xml:space="preserve">The regulation was approved on 19 November 2024, at the end of the legislative term and during the conclusion of the Belgian presidency, when the timing </w:t>
      </w:r>
      <w:proofErr w:type="gramStart"/>
      <w:r w:rsidRPr="00646432">
        <w:rPr>
          <w:rFonts w:cs="Times New Roman"/>
          <w:lang w:val="en-GB"/>
        </w:rPr>
        <w:t>was considered to be</w:t>
      </w:r>
      <w:proofErr w:type="gramEnd"/>
      <w:r w:rsidRPr="00646432">
        <w:rPr>
          <w:rFonts w:cs="Times New Roman"/>
          <w:lang w:val="en-GB"/>
        </w:rPr>
        <w:t xml:space="preserve"> favourable (Interview 3). Negotiations on the regulation had already taken place under the Czech presidency and were described as “very tough” and “vivid” (Interview 6). </w:t>
      </w:r>
    </w:p>
    <w:p w14:paraId="4EFF7B80" w14:textId="77777777" w:rsidR="004129D1" w:rsidRPr="00646432" w:rsidRDefault="004129D1" w:rsidP="000A6F0D">
      <w:pPr>
        <w:rPr>
          <w:rFonts w:cs="Times New Roman"/>
          <w:lang w:val="en-GB"/>
        </w:rPr>
      </w:pPr>
    </w:p>
    <w:p w14:paraId="41934A55" w14:textId="77777777" w:rsidR="000A6F0D" w:rsidRDefault="000A6F0D" w:rsidP="000A6F0D">
      <w:pPr>
        <w:rPr>
          <w:rFonts w:cs="Times New Roman"/>
          <w:lang w:val="en-GB"/>
        </w:rPr>
      </w:pPr>
      <w:r w:rsidRPr="00646432">
        <w:rPr>
          <w:rFonts w:cs="Times New Roman"/>
          <w:lang w:val="en-GB"/>
        </w:rPr>
        <w:t>The resulting regulation is among the softer alternatives that were discussed. In the approved text, the burden of proof lies with the investigating authorities, not the companies (“economic operators”) (Article 5). This contrasts with the Uyghur Forced Labour Prevention Act (UFLPA), adopted in the United States in December 2021, which presumes that all products originating from China’s Xinjiang Uyghur Autonomous Region (hereinafter Xinjiang) are made with forced labour unless companies prove otherwise. One proposal for the FLR also suggested that the responsibility for investigations outside the EU should rest with member states, but this was criticised by several of them, including the Czech Republic (Interview 6). The final version assigns the burden of proof to member states in cases of forced labour within the EU, and to the European Commission in cases outside the EU. Reportedly, the Commission was “not enthusiastic” about this arrangement, primarily due to concerns about lacking sufficient capacity to conduct thorough investigations (Interview 6). A suggestion to include services was also not approved, and in the final text, only products are covered (Interview 3), which is</w:t>
      </w:r>
      <w:r>
        <w:rPr>
          <w:rFonts w:cs="Times New Roman"/>
          <w:lang w:val="en-GB"/>
        </w:rPr>
        <w:t xml:space="preserve"> </w:t>
      </w:r>
      <w:r w:rsidRPr="00646432">
        <w:rPr>
          <w:rFonts w:cs="Times New Roman"/>
          <w:lang w:val="en-GB"/>
        </w:rPr>
        <w:t xml:space="preserve">the same as with the UFLPA. </w:t>
      </w:r>
    </w:p>
    <w:p w14:paraId="1EBE0884" w14:textId="77777777" w:rsidR="004129D1" w:rsidRPr="00646432" w:rsidRDefault="004129D1" w:rsidP="000A6F0D">
      <w:pPr>
        <w:rPr>
          <w:rFonts w:cs="Times New Roman"/>
          <w:lang w:val="en-GB"/>
        </w:rPr>
      </w:pPr>
    </w:p>
    <w:p w14:paraId="4A976516" w14:textId="77777777" w:rsidR="000A6F0D" w:rsidRDefault="000A6F0D" w:rsidP="000A6F0D">
      <w:pPr>
        <w:rPr>
          <w:rFonts w:cs="Times New Roman"/>
          <w:lang w:val="en-GB"/>
        </w:rPr>
      </w:pPr>
      <w:r w:rsidRPr="00646432">
        <w:rPr>
          <w:rFonts w:cs="Times New Roman"/>
          <w:lang w:val="en-GB"/>
        </w:rPr>
        <w:t xml:space="preserve">The </w:t>
      </w:r>
      <w:r>
        <w:rPr>
          <w:rFonts w:cs="Times New Roman"/>
          <w:lang w:val="en-GB"/>
        </w:rPr>
        <w:t>R</w:t>
      </w:r>
      <w:r w:rsidRPr="00646432">
        <w:rPr>
          <w:rFonts w:cs="Times New Roman"/>
          <w:lang w:val="en-GB"/>
        </w:rPr>
        <w:t>egulation establishes the Union Network Against Forced Labour Products, coordinated by the European Commission and composed of representatives of the Commission, member states, and potentially other stakeholders. Its role is to inform, educate, communicate, and coordinate to ensure proper enforcement of the regulation and prevent risks (Article 6). By June 2026, a publicly accessible database of high-risk areas and products will be presented, identifying specific geographic regions, products, or product groups where forced labour is widespread and severe. However, the database will have a recommendatory character and will not name individual economic operators (Article 8). At the same time, the Commission is expected to publish guidelines for economic operators and authorities to help identify risks and ensure effective enforcement of the regulation.</w:t>
      </w:r>
    </w:p>
    <w:p w14:paraId="300E9BB6" w14:textId="77777777" w:rsidR="004129D1" w:rsidRPr="00646432" w:rsidRDefault="004129D1" w:rsidP="000A6F0D">
      <w:pPr>
        <w:rPr>
          <w:rFonts w:cs="Times New Roman"/>
          <w:lang w:val="en-GB"/>
        </w:rPr>
      </w:pPr>
    </w:p>
    <w:p w14:paraId="2D0DDE67" w14:textId="77777777" w:rsidR="000A6F0D" w:rsidRDefault="000A6F0D" w:rsidP="000A6F0D">
      <w:pPr>
        <w:rPr>
          <w:rFonts w:cs="Times New Roman"/>
          <w:lang w:val="en-GB"/>
        </w:rPr>
      </w:pPr>
      <w:r w:rsidRPr="00646432">
        <w:rPr>
          <w:rFonts w:cs="Times New Roman"/>
          <w:lang w:val="en-GB"/>
        </w:rPr>
        <w:t>A single portal on forced labour will also be established, where all decisions on product bans will be published (Article 12). Any natural or legal person can submit a proposal for an investigation and provide related reasoning and evidence (Article 9). During investigations, the entities concerned are required to cooperate and provide documentation (Article 18), and the Commission may also carry out on-site investigations (Article 19). If economic operators or public authorities fail to cooperate appropriately or provide false information, the Commission may decide based on other available evidence (Article 20).</w:t>
      </w:r>
    </w:p>
    <w:p w14:paraId="13D89A9D" w14:textId="77777777" w:rsidR="004129D1" w:rsidRPr="00646432" w:rsidRDefault="004129D1" w:rsidP="000A6F0D">
      <w:pPr>
        <w:rPr>
          <w:rFonts w:cs="Times New Roman"/>
          <w:lang w:val="en-GB"/>
        </w:rPr>
      </w:pPr>
    </w:p>
    <w:p w14:paraId="0819CDFE" w14:textId="77777777" w:rsidR="000A6F0D" w:rsidRDefault="000A6F0D" w:rsidP="000A6F0D">
      <w:pPr>
        <w:rPr>
          <w:rFonts w:cs="Times New Roman"/>
          <w:lang w:val="en-GB"/>
        </w:rPr>
      </w:pPr>
      <w:r w:rsidRPr="00646432">
        <w:rPr>
          <w:rFonts w:cs="Times New Roman"/>
          <w:lang w:val="en-GB"/>
        </w:rPr>
        <w:t xml:space="preserve">While the approved version of the FLR shifts the burden of proof from companies to the authorities, it remains potentially highly impactful and, in a sense, revolutionary. Unlike the UFLPA, it does not target a single region but covers all products and materials imported or sold within the EU, regardless of the country of origin, including online commerce. It is likely the first and only systemic regulation of forced labour of its kind in the world. The </w:t>
      </w:r>
      <w:r>
        <w:rPr>
          <w:rFonts w:cs="Times New Roman"/>
          <w:lang w:val="en-GB"/>
        </w:rPr>
        <w:t>Re</w:t>
      </w:r>
      <w:r w:rsidRPr="00646432">
        <w:rPr>
          <w:rFonts w:cs="Times New Roman"/>
          <w:lang w:val="en-GB"/>
        </w:rPr>
        <w:t xml:space="preserve">gulation stipulates that the ban will apply to products involving forced labour at any stage of the supply chain. However, when assessing cases, authorities are required to consider the proximity of the case to forced labour, the scope and severity of the presumed forced labour, the quantity and volume of products placed on the EU market, and the share of the product in which forced labour was used in the final product (Article 14). </w:t>
      </w:r>
    </w:p>
    <w:p w14:paraId="3DC22297" w14:textId="77777777" w:rsidR="004129D1" w:rsidRPr="00646432" w:rsidRDefault="004129D1" w:rsidP="000A6F0D">
      <w:pPr>
        <w:rPr>
          <w:rFonts w:cs="Times New Roman"/>
          <w:lang w:val="en-GB"/>
        </w:rPr>
      </w:pPr>
    </w:p>
    <w:p w14:paraId="66942607" w14:textId="77777777" w:rsidR="004129D1" w:rsidRDefault="004129D1" w:rsidP="000A6F0D">
      <w:pPr>
        <w:rPr>
          <w:rFonts w:cs="Times New Roman"/>
          <w:lang w:val="en-GB"/>
        </w:rPr>
      </w:pPr>
    </w:p>
    <w:p w14:paraId="4754FB1D" w14:textId="77777777" w:rsidR="004129D1" w:rsidRDefault="004129D1" w:rsidP="000A6F0D">
      <w:pPr>
        <w:rPr>
          <w:rFonts w:cs="Times New Roman"/>
          <w:lang w:val="en-GB"/>
        </w:rPr>
      </w:pPr>
    </w:p>
    <w:p w14:paraId="1E447A7A" w14:textId="32B51392" w:rsidR="000A6F0D" w:rsidRDefault="000A6F0D" w:rsidP="000A6F0D">
      <w:pPr>
        <w:rPr>
          <w:rFonts w:cs="Times New Roman"/>
          <w:lang w:val="en-GB"/>
        </w:rPr>
      </w:pPr>
      <w:r w:rsidRPr="00646432">
        <w:rPr>
          <w:rFonts w:cs="Times New Roman"/>
          <w:lang w:val="en-GB"/>
        </w:rPr>
        <w:t xml:space="preserve">The key question, however, is how the </w:t>
      </w:r>
      <w:r>
        <w:rPr>
          <w:rFonts w:cs="Times New Roman"/>
          <w:lang w:val="en-GB"/>
        </w:rPr>
        <w:t>Re</w:t>
      </w:r>
      <w:r w:rsidRPr="00646432">
        <w:rPr>
          <w:rFonts w:cs="Times New Roman"/>
          <w:lang w:val="en-GB"/>
        </w:rPr>
        <w:t>gulation will function in practice, which will depend on many factors. Xinjiang provides a good example for discussing the Regulation’s impact, because although systemic forced labour has been proven there, it is difficult to identify in specific instances. Article 20 of the Regulation allows establishing a ban “based on any other facts available” if an economic operator or public authority refuses to cooperate, obstructs the investigation, or provides misleading information. The question remains whether the Commission will be willing to impose a ban based on systemic repression without explicit evidence in specific cases. Interviews with representatives suggest that, for now, it does not intend to do so (Interview 4). Another important aspect is the significance of Xinjiang for the EU’s economic security and China’s position as a powerful actor on which the EU remains heavily dependent</w:t>
      </w:r>
      <w:r>
        <w:rPr>
          <w:rFonts w:cs="Times New Roman"/>
          <w:lang w:val="en-GB"/>
        </w:rPr>
        <w:t xml:space="preserve"> (Eurostat 2024). </w:t>
      </w:r>
    </w:p>
    <w:p w14:paraId="67BDAEAF" w14:textId="77777777" w:rsidR="000A6F0D" w:rsidRDefault="000A6F0D" w:rsidP="000A6F0D">
      <w:pPr>
        <w:rPr>
          <w:rFonts w:cs="Times New Roman"/>
          <w:lang w:val="en-GB"/>
        </w:rPr>
      </w:pPr>
    </w:p>
    <w:p w14:paraId="21E78D03" w14:textId="77777777" w:rsidR="000A6F0D" w:rsidRDefault="000A6F0D" w:rsidP="000A6F0D">
      <w:pPr>
        <w:pStyle w:val="Nadpis1"/>
      </w:pPr>
      <w:bookmarkStart w:id="2" w:name="_Toc210988695"/>
      <w:r w:rsidRPr="00646432">
        <w:t>Forced labour in Xinjiang</w:t>
      </w:r>
      <w:bookmarkEnd w:id="2"/>
    </w:p>
    <w:p w14:paraId="681FDBC1" w14:textId="77777777" w:rsidR="000A6F0D" w:rsidRDefault="000A6F0D" w:rsidP="000A6F0D">
      <w:pPr>
        <w:pStyle w:val="Nadpis1"/>
      </w:pPr>
    </w:p>
    <w:p w14:paraId="2B90F36F" w14:textId="77777777" w:rsidR="000A6F0D" w:rsidRDefault="000A6F0D" w:rsidP="000A6F0D">
      <w:pPr>
        <w:rPr>
          <w:rFonts w:cs="Times New Roman"/>
          <w:lang w:val="en-GB"/>
        </w:rPr>
      </w:pPr>
      <w:r w:rsidRPr="00646432">
        <w:rPr>
          <w:rFonts w:cs="Times New Roman"/>
          <w:lang w:val="en-GB"/>
        </w:rPr>
        <w:t xml:space="preserve">Since around 2014, Xi Jinping’s administration has accelerated a repressive campaign in Xinjiang, targeting ethnic minorities, primarily Uyghurs. The campaign includes a wide range of measures, such as arbitrary detention in re-education camps, imprisonment in high-security prisons, coercive labour transfers, forced sterilisations, land expropriations, and the destruction of religious sites (OHCHR 2022). In 2024, the ILO alleged “widespread and state-sponsored forced labour practices” in both Xinjiang and Tibet. The document describes two types of forced labour: first, the detention system and related placement of detainees in forced labour, and second, the organised transfers of primarily farmers, which often include military-style training and ideological classes (ILO 2025, 362–363). The second practice of “non-internment state-imposed </w:t>
      </w:r>
      <w:r w:rsidRPr="00320F70">
        <w:rPr>
          <w:rFonts w:cs="Times New Roman"/>
          <w:lang w:val="en-GB"/>
        </w:rPr>
        <w:t>forced labour</w:t>
      </w:r>
      <w:r>
        <w:rPr>
          <w:rFonts w:cs="Times New Roman"/>
          <w:lang w:val="en-GB"/>
        </w:rPr>
        <w:t xml:space="preserve">” </w:t>
      </w:r>
      <w:r w:rsidRPr="00320F70">
        <w:rPr>
          <w:rFonts w:cs="Times New Roman"/>
          <w:lang w:val="en-GB"/>
        </w:rPr>
        <w:t>is more widespread, and most reports on Xinjiang concerning forced labour in global supply chains from Xinjiang refer to this form rather than the more explicit internment-based forced labour (Zenz 2023).</w:t>
      </w:r>
    </w:p>
    <w:p w14:paraId="6FC585B4" w14:textId="77777777" w:rsidR="004129D1" w:rsidRPr="00646432" w:rsidRDefault="004129D1" w:rsidP="000A6F0D">
      <w:pPr>
        <w:rPr>
          <w:rFonts w:cs="Times New Roman"/>
          <w:lang w:val="en-GB"/>
        </w:rPr>
      </w:pPr>
    </w:p>
    <w:p w14:paraId="72D7A544" w14:textId="77777777" w:rsidR="000A6F0D" w:rsidRDefault="000A6F0D" w:rsidP="000A6F0D">
      <w:pPr>
        <w:rPr>
          <w:rFonts w:cs="Times New Roman"/>
          <w:lang w:val="en-GB"/>
        </w:rPr>
      </w:pPr>
      <w:r w:rsidRPr="00646432">
        <w:rPr>
          <w:rFonts w:cs="Times New Roman"/>
          <w:lang w:val="en-GB"/>
        </w:rPr>
        <w:t xml:space="preserve">While the first type concerns individuals deemed </w:t>
      </w:r>
      <w:r>
        <w:rPr>
          <w:rFonts w:cs="Times New Roman"/>
          <w:lang w:val="en-GB"/>
        </w:rPr>
        <w:t>“</w:t>
      </w:r>
      <w:r w:rsidRPr="00646432">
        <w:rPr>
          <w:rFonts w:cs="Times New Roman"/>
          <w:lang w:val="en-GB"/>
        </w:rPr>
        <w:t>dangerous</w:t>
      </w:r>
      <w:r>
        <w:rPr>
          <w:rFonts w:cs="Times New Roman"/>
          <w:lang w:val="en-GB"/>
        </w:rPr>
        <w:t>” by Chinese authorities</w:t>
      </w:r>
      <w:r w:rsidRPr="00646432">
        <w:rPr>
          <w:rFonts w:cs="Times New Roman"/>
          <w:lang w:val="en-GB"/>
        </w:rPr>
        <w:t xml:space="preserve"> and subjected to some form of punishment or “re-education”, the second encompasses large part of the Uyghur population, with the primary aim of forced assimilation, potentially impacting millions of individuals (Zenz 2023). These transfers typically target so-called “surplus labourers”, often farmers working their own land without formal employment. Government authorities present them with the “opportunity” to escape poverty by offering organised employment in different forms. This may include factory work in other parts of Xinjiang or in distant provinces of China, with transportation arranged by the state, often in dedicated buses or trains, under the supervision of government officials or police throughout the transfer and stay period. In some cases, transfers are preceded by mandatory training programmes lasting several months, often of a “militarised” character, where participants cannot freely leave the facilities (Zenz 2023</w:t>
      </w:r>
      <w:r>
        <w:rPr>
          <w:rFonts w:cs="Times New Roman"/>
          <w:lang w:val="en-GB"/>
        </w:rPr>
        <w:t>)</w:t>
      </w:r>
      <w:r w:rsidRPr="00646432">
        <w:rPr>
          <w:rFonts w:cs="Times New Roman"/>
          <w:lang w:val="en-GB"/>
        </w:rPr>
        <w:t>. Sometimes, workers to be transferred to other regions of China were “offered” on online forums in “batches” of several hundred, often divided by gender or age, to factories across the country by private intermediaries who received a financial reward from the authorities for each transferred Uyghur (Svec 2022). Alternatively, the transfers may be sectoral rather than physical, involving work closer to home in “satellite factories” or seasonal agricultural labour such as cotton picking. The transfers may also involve placing children in boarding kindergartens and schools, moving elderly people in state institutions, and expropriating land (Zenz 2021</w:t>
      </w:r>
      <w:r>
        <w:rPr>
          <w:rFonts w:cs="Times New Roman"/>
          <w:lang w:val="en-GB"/>
        </w:rPr>
        <w:t>;</w:t>
      </w:r>
      <w:r w:rsidRPr="00646432">
        <w:rPr>
          <w:rFonts w:cs="Times New Roman"/>
          <w:lang w:val="en-GB"/>
        </w:rPr>
        <w:t xml:space="preserve"> Zenz 2023).</w:t>
      </w:r>
    </w:p>
    <w:p w14:paraId="388393EE" w14:textId="77777777" w:rsidR="004129D1" w:rsidRPr="00646432" w:rsidRDefault="004129D1" w:rsidP="000A6F0D">
      <w:pPr>
        <w:rPr>
          <w:rFonts w:cs="Times New Roman"/>
          <w:lang w:val="en-GB"/>
        </w:rPr>
      </w:pPr>
    </w:p>
    <w:p w14:paraId="6DF986F8" w14:textId="77777777" w:rsidR="00F23F87" w:rsidRDefault="000A6F0D" w:rsidP="000A6F0D">
      <w:pPr>
        <w:rPr>
          <w:rFonts w:cs="Times New Roman"/>
          <w:lang w:val="en-GB"/>
        </w:rPr>
      </w:pPr>
      <w:r w:rsidRPr="00646432">
        <w:rPr>
          <w:rFonts w:cs="Times New Roman"/>
          <w:lang w:val="en-GB"/>
        </w:rPr>
        <w:t xml:space="preserve">As discussed, the coercive character is closely tied to the repressive system and is often not demonstrable at the individual level. Workers formally sign contracts, can theoretically leave factory premises, and usually receive wages. The coercive element derives from a broader repressive system that prevents individuals from expressing any resistance or making demands. If a Uyghur farmer is invited by local cadres to accept the “offer” to be “lifted out of poverty”, they simply cannot refuse, as such behaviour may be viewed as suspicious. One behaviour listed for further investigation by the </w:t>
      </w:r>
    </w:p>
    <w:p w14:paraId="797CAC51" w14:textId="77777777" w:rsidR="00F23F87" w:rsidRDefault="00F23F87" w:rsidP="000A6F0D">
      <w:pPr>
        <w:rPr>
          <w:rFonts w:cs="Times New Roman"/>
          <w:lang w:val="en-GB"/>
        </w:rPr>
      </w:pPr>
    </w:p>
    <w:p w14:paraId="55EC0788" w14:textId="18BBD8E6" w:rsidR="000A6F0D" w:rsidRDefault="000A6F0D" w:rsidP="000A6F0D">
      <w:pPr>
        <w:rPr>
          <w:rFonts w:cs="Times New Roman"/>
          <w:lang w:val="en-GB"/>
        </w:rPr>
      </w:pPr>
      <w:r w:rsidRPr="00646432">
        <w:rPr>
          <w:rFonts w:cs="Times New Roman"/>
          <w:lang w:val="en-GB"/>
        </w:rPr>
        <w:t>authorities is: “For no apparent reason, unwilling to enjoy policies that benefit the people or fails to participate in activities organised by the local government or the Party” (Human Rights Watch 2019).</w:t>
      </w:r>
      <w:r w:rsidRPr="00646432">
        <w:rPr>
          <w:rStyle w:val="Odkaznapoznmkupodiarou"/>
          <w:i/>
          <w:iCs/>
          <w:lang w:val="en-GB"/>
        </w:rPr>
        <w:t xml:space="preserve"> </w:t>
      </w:r>
      <w:r w:rsidRPr="00646432">
        <w:rPr>
          <w:rFonts w:cs="Times New Roman"/>
          <w:lang w:val="en-GB"/>
        </w:rPr>
        <w:t>Being considered suspicious and investigated by the police can result in individuals being punished in various ways, including arbitrary imprisonment in inhumane conditions (Byler 2021).</w:t>
      </w:r>
    </w:p>
    <w:p w14:paraId="5BF27F80" w14:textId="77777777" w:rsidR="004129D1" w:rsidRPr="00646432" w:rsidRDefault="004129D1" w:rsidP="000A6F0D">
      <w:pPr>
        <w:rPr>
          <w:rFonts w:cs="Times New Roman"/>
          <w:lang w:val="en-GB"/>
        </w:rPr>
      </w:pPr>
    </w:p>
    <w:p w14:paraId="5AE9C08D" w14:textId="74284E38" w:rsidR="000A6F0D" w:rsidRDefault="000A6F0D" w:rsidP="000A6F0D">
      <w:pPr>
        <w:rPr>
          <w:rFonts w:cs="Times New Roman"/>
          <w:lang w:val="en-GB"/>
        </w:rPr>
      </w:pPr>
      <w:r w:rsidRPr="00646432">
        <w:rPr>
          <w:rFonts w:cs="Times New Roman"/>
          <w:lang w:val="en-GB"/>
        </w:rPr>
        <w:t>The extremely repressive system in Xinjiang prevents any independent investigation from being conducted. Chinese authorities have actively adopted measures to prevent investigations into human rights violations. Authorities have already investigated individuals for cooperating with auditors (Human Rights Watch 2024, 74). Auditing firms have also come under crackdown, and five major firms have already left the region (Kashyap 2020). In April 2023, China adopted the Counter-Espionage Law, which prohibits individuals from sharing sensitive information with foreign entities, and was already used against consultancy companies (Ng 2023). The case of the audit of the SAIC-Volkswagen factory in Xinjiang regarding forced labour demonstrated the impossibility of conducting an independent investigation (Hennig 2024).</w:t>
      </w:r>
    </w:p>
    <w:p w14:paraId="42C7238A" w14:textId="77777777" w:rsidR="004129D1" w:rsidRDefault="004129D1" w:rsidP="000A6F0D">
      <w:pPr>
        <w:rPr>
          <w:rFonts w:cs="Times New Roman"/>
          <w:lang w:val="en-GB"/>
        </w:rPr>
      </w:pPr>
    </w:p>
    <w:p w14:paraId="548CBA63" w14:textId="77777777" w:rsidR="000A6F0D" w:rsidRDefault="000A6F0D" w:rsidP="000A6F0D">
      <w:pPr>
        <w:rPr>
          <w:rFonts w:cs="Times New Roman"/>
          <w:lang w:val="en-GB"/>
        </w:rPr>
      </w:pPr>
      <w:r w:rsidRPr="00646432">
        <w:rPr>
          <w:rFonts w:cs="Times New Roman"/>
          <w:lang w:val="en-GB"/>
        </w:rPr>
        <w:t xml:space="preserve">The </w:t>
      </w:r>
      <w:r>
        <w:rPr>
          <w:rFonts w:cs="Times New Roman"/>
          <w:lang w:val="en-GB"/>
        </w:rPr>
        <w:t>Re</w:t>
      </w:r>
      <w:r w:rsidRPr="00646432">
        <w:rPr>
          <w:rFonts w:cs="Times New Roman"/>
          <w:lang w:val="en-GB"/>
        </w:rPr>
        <w:t xml:space="preserve">gulation bases the definition and identification of forced labour primarily on International Labour Organization documents and refers </w:t>
      </w:r>
      <w:r>
        <w:rPr>
          <w:rFonts w:cs="Times New Roman"/>
          <w:lang w:val="en-GB"/>
        </w:rPr>
        <w:t xml:space="preserve">also </w:t>
      </w:r>
      <w:r w:rsidRPr="00646432">
        <w:rPr>
          <w:rFonts w:cs="Times New Roman"/>
          <w:lang w:val="en-GB"/>
        </w:rPr>
        <w:t xml:space="preserve">to the </w:t>
      </w:r>
      <w:r>
        <w:rPr>
          <w:rFonts w:cs="Times New Roman"/>
          <w:lang w:val="en-GB"/>
        </w:rPr>
        <w:t xml:space="preserve">ILO </w:t>
      </w:r>
      <w:r w:rsidRPr="00646432">
        <w:rPr>
          <w:rFonts w:cs="Times New Roman"/>
          <w:lang w:val="en-GB"/>
        </w:rPr>
        <w:t xml:space="preserve">guidelines </w:t>
      </w:r>
      <w:r w:rsidRPr="00646432">
        <w:rPr>
          <w:rFonts w:cs="Times New Roman"/>
          <w:i/>
          <w:iCs/>
          <w:lang w:val="en-GB"/>
        </w:rPr>
        <w:t>Hard to See, Harder to Count</w:t>
      </w:r>
      <w:r w:rsidRPr="00646432">
        <w:rPr>
          <w:rFonts w:cs="Times New Roman"/>
          <w:lang w:val="en-GB"/>
        </w:rPr>
        <w:t xml:space="preserve">, which outlines indicators of forced labour. The first version of the guidelines was adopted in 2012 and updated in 2024, with the revised edition adding a new section specifically on “non-internment state-imposed forms of forced labour” (ILO 2024, 149–151). </w:t>
      </w:r>
      <w:r w:rsidRPr="00655432">
        <w:rPr>
          <w:rFonts w:cs="Times New Roman"/>
          <w:lang w:val="en-GB"/>
        </w:rPr>
        <w:t xml:space="preserve">This section likely responds directly to cases of forced labour transfers in Xinjiang and previous research conducted by Adrian Zenz </w:t>
      </w:r>
      <w:r w:rsidRPr="00655432">
        <w:rPr>
          <w:rFonts w:cs="Times New Roman"/>
        </w:rPr>
        <w:t>(Zenz 2024)</w:t>
      </w:r>
      <w:r w:rsidRPr="00646432">
        <w:rPr>
          <w:rFonts w:cs="Times New Roman"/>
          <w:lang w:val="en-GB"/>
        </w:rPr>
        <w:t xml:space="preserve">. The guidelines emphasise that research on such forced labour is “more readily assessed as a systemic risk than a specific instance, given that this form of forced labour creates an environment that renders its victims much less likely to speak freely” (ILO 2024, 150) and noting that “non-cooperation entails a systemic risk that is often more implicit than overt” (ILO 2024, 149). This point is crucial, as the guidelines cited by the regulation as a relevant source for identifying forced labour stress that in such cases, it is more important to assess systemic conditions rather than specific instances. The guidelines also state that research “must take into account the fundamental preconditions for this forced labour, such as an overall coercive environment (police state), a comprehensive mechanism for pressure-driven grassroots mobilization, and a state policy mandating work or production targets for targeted populations” (ILO 2024, 150). </w:t>
      </w:r>
    </w:p>
    <w:p w14:paraId="006ACA55" w14:textId="77777777" w:rsidR="004129D1" w:rsidRPr="00646432" w:rsidRDefault="004129D1" w:rsidP="000A6F0D">
      <w:pPr>
        <w:rPr>
          <w:rFonts w:cs="Times New Roman"/>
          <w:lang w:val="en-GB"/>
        </w:rPr>
      </w:pPr>
    </w:p>
    <w:p w14:paraId="35D747A6" w14:textId="77777777" w:rsidR="000A6F0D" w:rsidRDefault="000A6F0D" w:rsidP="000A6F0D">
      <w:pPr>
        <w:rPr>
          <w:rFonts w:cs="Times New Roman"/>
          <w:lang w:val="en-GB"/>
        </w:rPr>
      </w:pPr>
      <w:r w:rsidRPr="00646432">
        <w:rPr>
          <w:rFonts w:cs="Times New Roman"/>
          <w:lang w:val="en-GB"/>
        </w:rPr>
        <w:t>It can be expected that if auditors or investigators are invited to conduct an on-site visit, it will be highly staged and will not lead to any significant revelations. Workers would be instructed on how to respond, and the site would be prepared in advance to remove any visible coercive features. China has organised such orchestrated trips to Uyghur re-education camps before (Handley 2019).</w:t>
      </w:r>
      <w:r w:rsidRPr="00646432">
        <w:rPr>
          <w:rFonts w:cs="Times New Roman"/>
          <w:i/>
          <w:iCs/>
          <w:lang w:val="en-GB"/>
        </w:rPr>
        <w:t xml:space="preserve"> </w:t>
      </w:r>
      <w:r w:rsidRPr="00646432">
        <w:rPr>
          <w:rFonts w:cs="Times New Roman"/>
          <w:lang w:val="en-GB"/>
        </w:rPr>
        <w:t xml:space="preserve"> Given the practice of data falsification in China, especially on sensitive issues such as Xinjiang, audits of official documents, including employment contracts or legal records, should likewise not be considered reliable. Authorities and local companies may adapt to the regulation and audits by altering the form of trainings to appear formally voluntary, allowing participants to leave the premises, and omitting terms such as “militarised”. However, this does not mean that the actual conditions for workers change, as they will avoid drawing attention by failing to meet the authorities’ expected demands. This is another reason why the issue should be assessed based on systemic repression, rather than specific cases. The ILO handbook highlights the importance of identifying non-internment state-imposed forced labour through the analysis of state policies through desk research, including reports and information published by international organisations (ILO 2025, 151). This could be supplemented by other sources recommended by the Handbook for general investigation of forced labour, such as desk reviews of reports by NGOs or civil society groups, investigative journalism, as well as through consultations with experts (ILO 2025, 25). </w:t>
      </w:r>
    </w:p>
    <w:p w14:paraId="583F5B73" w14:textId="77777777" w:rsidR="000A6F0D" w:rsidRPr="00646432" w:rsidRDefault="000A6F0D" w:rsidP="000A6F0D">
      <w:pPr>
        <w:pStyle w:val="Nadpis1"/>
      </w:pPr>
    </w:p>
    <w:p w14:paraId="161F46B0" w14:textId="77777777" w:rsidR="000A6F0D" w:rsidRDefault="000A6F0D" w:rsidP="000A6F0D">
      <w:pPr>
        <w:rPr>
          <w:rFonts w:cs="Times New Roman"/>
          <w:lang w:val="en-GB"/>
        </w:rPr>
      </w:pPr>
    </w:p>
    <w:p w14:paraId="5F4CB8FA" w14:textId="77777777" w:rsidR="0050497E" w:rsidRDefault="0050497E" w:rsidP="0050497E">
      <w:pPr>
        <w:pStyle w:val="Nadpis1"/>
      </w:pPr>
      <w:bookmarkStart w:id="3" w:name="_Toc210988696"/>
      <w:r w:rsidRPr="00646432">
        <w:t>The importance of Xinjiang for global supply chains</w:t>
      </w:r>
      <w:bookmarkEnd w:id="3"/>
      <w:r w:rsidRPr="00646432">
        <w:t xml:space="preserve"> </w:t>
      </w:r>
    </w:p>
    <w:p w14:paraId="4746C3A2" w14:textId="77777777" w:rsidR="0050497E" w:rsidRDefault="0050497E" w:rsidP="0050497E">
      <w:pPr>
        <w:pStyle w:val="Nadpis1"/>
      </w:pPr>
    </w:p>
    <w:p w14:paraId="73227AFF" w14:textId="77777777" w:rsidR="00D64F6B" w:rsidRDefault="00D64F6B" w:rsidP="00D64F6B">
      <w:pPr>
        <w:rPr>
          <w:rFonts w:cs="Times New Roman"/>
          <w:lang w:val="en-GB"/>
        </w:rPr>
      </w:pPr>
      <w:r w:rsidRPr="00646432">
        <w:rPr>
          <w:rFonts w:cs="Times New Roman"/>
          <w:lang w:val="en-GB"/>
        </w:rPr>
        <w:t>Xinjiang is a global source of critical materials, solar panels, PVC, and cotton, all of which are supplied to international markets and can eventually reach the EU either as finished products or as inputs for local factories. Table 2 presents a selection of materials and their share of global supply.</w:t>
      </w:r>
    </w:p>
    <w:p w14:paraId="75BA87AA" w14:textId="77777777" w:rsidR="00D64F6B" w:rsidRPr="00646432" w:rsidRDefault="00D64F6B" w:rsidP="00D64F6B">
      <w:pPr>
        <w:rPr>
          <w:rFonts w:cs="Times New Roman"/>
          <w:lang w:val="en-GB"/>
        </w:rPr>
      </w:pPr>
    </w:p>
    <w:p w14:paraId="0CD58C5D" w14:textId="77777777" w:rsidR="00D64F6B" w:rsidRDefault="00D64F6B" w:rsidP="00D64F6B">
      <w:pPr>
        <w:rPr>
          <w:rFonts w:cs="Times New Roman"/>
          <w:lang w:val="en-GB"/>
        </w:rPr>
      </w:pPr>
      <w:r w:rsidRPr="00646432">
        <w:rPr>
          <w:rFonts w:cs="Times New Roman"/>
          <w:lang w:val="en-GB"/>
        </w:rPr>
        <w:t xml:space="preserve">Table 2: Materials sourced from Xinjiang and estimated percentage of worldwide supply (Global Rights Compliance 2025, 14; Murphy, Vallette, and </w:t>
      </w:r>
      <w:proofErr w:type="spellStart"/>
      <w:r w:rsidRPr="00646432">
        <w:rPr>
          <w:rFonts w:cs="Times New Roman"/>
          <w:lang w:val="en-GB"/>
        </w:rPr>
        <w:t>Elimä</w:t>
      </w:r>
      <w:proofErr w:type="spellEnd"/>
      <w:r w:rsidRPr="00646432">
        <w:rPr>
          <w:rFonts w:cs="Times New Roman"/>
          <w:lang w:val="en-GB"/>
        </w:rPr>
        <w:t xml:space="preserve"> 2024; Zenz 2020)</w:t>
      </w:r>
    </w:p>
    <w:p w14:paraId="25890F5C" w14:textId="77777777" w:rsidR="001E33CF" w:rsidRDefault="001E33CF" w:rsidP="00D64F6B">
      <w:pPr>
        <w:rPr>
          <w:rFonts w:cs="Times New Roman"/>
          <w:lang w:val="en-GB"/>
        </w:rPr>
      </w:pPr>
    </w:p>
    <w:tbl>
      <w:tblPr>
        <w:tblStyle w:val="Mriekatabuky"/>
        <w:tblW w:w="0" w:type="auto"/>
        <w:tblLook w:val="04A0" w:firstRow="1" w:lastRow="0" w:firstColumn="1" w:lastColumn="0" w:noHBand="0" w:noVBand="1"/>
      </w:tblPr>
      <w:tblGrid>
        <w:gridCol w:w="4531"/>
        <w:gridCol w:w="4531"/>
      </w:tblGrid>
      <w:tr w:rsidR="001E33CF" w:rsidRPr="001E33CF" w14:paraId="613D7598" w14:textId="77777777" w:rsidTr="00A72A55">
        <w:tc>
          <w:tcPr>
            <w:tcW w:w="4531" w:type="dxa"/>
          </w:tcPr>
          <w:p w14:paraId="25237E35" w14:textId="77777777" w:rsidR="001E33CF" w:rsidRPr="001E33CF" w:rsidRDefault="001E33CF" w:rsidP="001E33CF">
            <w:pPr>
              <w:rPr>
                <w:rFonts w:cs="Times New Roman"/>
                <w:b/>
                <w:bCs/>
                <w:lang w:val="en-GB"/>
              </w:rPr>
            </w:pPr>
            <w:r w:rsidRPr="001E33CF">
              <w:rPr>
                <w:rFonts w:cs="Times New Roman"/>
                <w:b/>
                <w:bCs/>
                <w:lang w:val="en-GB"/>
              </w:rPr>
              <w:t xml:space="preserve">Materials </w:t>
            </w:r>
          </w:p>
        </w:tc>
        <w:tc>
          <w:tcPr>
            <w:tcW w:w="4531" w:type="dxa"/>
          </w:tcPr>
          <w:p w14:paraId="5DAD6D0D" w14:textId="77777777" w:rsidR="001E33CF" w:rsidRPr="001E33CF" w:rsidRDefault="001E33CF" w:rsidP="001E33CF">
            <w:pPr>
              <w:rPr>
                <w:rFonts w:cs="Times New Roman"/>
                <w:b/>
                <w:bCs/>
                <w:lang w:val="en-GB"/>
              </w:rPr>
            </w:pPr>
            <w:r w:rsidRPr="001E33CF">
              <w:rPr>
                <w:rFonts w:cs="Times New Roman"/>
                <w:b/>
                <w:bCs/>
                <w:lang w:val="en-GB"/>
              </w:rPr>
              <w:t xml:space="preserve">Percentage of worldwide supply </w:t>
            </w:r>
          </w:p>
        </w:tc>
      </w:tr>
      <w:tr w:rsidR="001E33CF" w:rsidRPr="001E33CF" w14:paraId="6B33C2CD" w14:textId="77777777" w:rsidTr="00A72A55">
        <w:tc>
          <w:tcPr>
            <w:tcW w:w="4531" w:type="dxa"/>
          </w:tcPr>
          <w:p w14:paraId="0DD53B50" w14:textId="77777777" w:rsidR="001E33CF" w:rsidRPr="001E33CF" w:rsidRDefault="001E33CF" w:rsidP="001E33CF">
            <w:pPr>
              <w:rPr>
                <w:rFonts w:cs="Times New Roman"/>
                <w:lang w:val="en-GB"/>
              </w:rPr>
            </w:pPr>
            <w:r w:rsidRPr="001E33CF">
              <w:rPr>
                <w:rFonts w:cs="Times New Roman"/>
                <w:lang w:val="en-GB"/>
              </w:rPr>
              <w:t xml:space="preserve">Polysilicon </w:t>
            </w:r>
          </w:p>
        </w:tc>
        <w:tc>
          <w:tcPr>
            <w:tcW w:w="4531" w:type="dxa"/>
          </w:tcPr>
          <w:p w14:paraId="48511F8A" w14:textId="77777777" w:rsidR="001E33CF" w:rsidRPr="001E33CF" w:rsidRDefault="001E33CF" w:rsidP="001E33CF">
            <w:pPr>
              <w:rPr>
                <w:rFonts w:cs="Times New Roman"/>
                <w:lang w:val="en-GB"/>
              </w:rPr>
            </w:pPr>
            <w:r w:rsidRPr="001E33CF">
              <w:rPr>
                <w:rFonts w:cs="Times New Roman"/>
                <w:lang w:val="en-GB"/>
              </w:rPr>
              <w:t xml:space="preserve">45% </w:t>
            </w:r>
          </w:p>
        </w:tc>
      </w:tr>
      <w:tr w:rsidR="001E33CF" w:rsidRPr="001E33CF" w14:paraId="7482743B" w14:textId="77777777" w:rsidTr="00A72A55">
        <w:tc>
          <w:tcPr>
            <w:tcW w:w="4531" w:type="dxa"/>
          </w:tcPr>
          <w:p w14:paraId="3BC5323A" w14:textId="77777777" w:rsidR="001E33CF" w:rsidRPr="001E33CF" w:rsidRDefault="001E33CF" w:rsidP="001E33CF">
            <w:pPr>
              <w:rPr>
                <w:rFonts w:cs="Times New Roman"/>
                <w:lang w:val="en-GB"/>
              </w:rPr>
            </w:pPr>
            <w:r w:rsidRPr="001E33CF">
              <w:rPr>
                <w:rFonts w:cs="Times New Roman"/>
                <w:lang w:val="en-GB"/>
              </w:rPr>
              <w:t>Cotton</w:t>
            </w:r>
          </w:p>
        </w:tc>
        <w:tc>
          <w:tcPr>
            <w:tcW w:w="4531" w:type="dxa"/>
          </w:tcPr>
          <w:p w14:paraId="1724A960" w14:textId="77777777" w:rsidR="001E33CF" w:rsidRPr="001E33CF" w:rsidRDefault="001E33CF" w:rsidP="001E33CF">
            <w:pPr>
              <w:rPr>
                <w:rFonts w:cs="Times New Roman"/>
                <w:lang w:val="en-GB"/>
              </w:rPr>
            </w:pPr>
            <w:r w:rsidRPr="001E33CF">
              <w:rPr>
                <w:rFonts w:cs="Times New Roman"/>
                <w:lang w:val="en-GB"/>
              </w:rPr>
              <w:t>20%</w:t>
            </w:r>
          </w:p>
        </w:tc>
      </w:tr>
      <w:tr w:rsidR="001E33CF" w:rsidRPr="001E33CF" w14:paraId="36F710F7" w14:textId="77777777" w:rsidTr="00A72A55">
        <w:tc>
          <w:tcPr>
            <w:tcW w:w="4531" w:type="dxa"/>
          </w:tcPr>
          <w:p w14:paraId="4BB1E9A7" w14:textId="77777777" w:rsidR="001E33CF" w:rsidRPr="001E33CF" w:rsidRDefault="001E33CF" w:rsidP="001E33CF">
            <w:pPr>
              <w:rPr>
                <w:rFonts w:cs="Times New Roman"/>
                <w:lang w:val="en-GB"/>
              </w:rPr>
            </w:pPr>
            <w:r w:rsidRPr="001E33CF">
              <w:rPr>
                <w:rFonts w:cs="Times New Roman"/>
                <w:lang w:val="en-GB"/>
              </w:rPr>
              <w:t>Titanium (sponge)</w:t>
            </w:r>
          </w:p>
        </w:tc>
        <w:tc>
          <w:tcPr>
            <w:tcW w:w="4531" w:type="dxa"/>
          </w:tcPr>
          <w:p w14:paraId="035D8D01" w14:textId="77777777" w:rsidR="001E33CF" w:rsidRPr="001E33CF" w:rsidRDefault="001E33CF" w:rsidP="001E33CF">
            <w:pPr>
              <w:rPr>
                <w:rFonts w:cs="Times New Roman"/>
                <w:lang w:val="en-GB"/>
              </w:rPr>
            </w:pPr>
            <w:r w:rsidRPr="001E33CF">
              <w:rPr>
                <w:rFonts w:cs="Times New Roman"/>
                <w:lang w:val="en-GB"/>
              </w:rPr>
              <w:t>12%</w:t>
            </w:r>
          </w:p>
        </w:tc>
      </w:tr>
      <w:tr w:rsidR="001E33CF" w:rsidRPr="001E33CF" w14:paraId="3879BCBB" w14:textId="77777777" w:rsidTr="00A72A55">
        <w:tc>
          <w:tcPr>
            <w:tcW w:w="4531" w:type="dxa"/>
          </w:tcPr>
          <w:p w14:paraId="3F52B703" w14:textId="77777777" w:rsidR="001E33CF" w:rsidRPr="001E33CF" w:rsidRDefault="001E33CF" w:rsidP="001E33CF">
            <w:pPr>
              <w:rPr>
                <w:rFonts w:cs="Times New Roman"/>
                <w:lang w:val="en-GB"/>
              </w:rPr>
            </w:pPr>
            <w:r w:rsidRPr="001E33CF">
              <w:rPr>
                <w:rFonts w:cs="Times New Roman"/>
                <w:lang w:val="en-GB"/>
              </w:rPr>
              <w:t>Beryllium (mined)</w:t>
            </w:r>
          </w:p>
        </w:tc>
        <w:tc>
          <w:tcPr>
            <w:tcW w:w="4531" w:type="dxa"/>
          </w:tcPr>
          <w:p w14:paraId="6343BB6A" w14:textId="77777777" w:rsidR="001E33CF" w:rsidRPr="001E33CF" w:rsidRDefault="001E33CF" w:rsidP="001E33CF">
            <w:pPr>
              <w:rPr>
                <w:rFonts w:cs="Times New Roman"/>
                <w:lang w:val="en-GB"/>
              </w:rPr>
            </w:pPr>
            <w:r w:rsidRPr="001E33CF">
              <w:rPr>
                <w:rFonts w:cs="Times New Roman"/>
                <w:lang w:val="en-GB"/>
              </w:rPr>
              <w:t>11%</w:t>
            </w:r>
          </w:p>
        </w:tc>
      </w:tr>
      <w:tr w:rsidR="001E33CF" w:rsidRPr="001E33CF" w14:paraId="61EECB61" w14:textId="77777777" w:rsidTr="00A72A55">
        <w:tc>
          <w:tcPr>
            <w:tcW w:w="4531" w:type="dxa"/>
          </w:tcPr>
          <w:p w14:paraId="314A2900" w14:textId="77777777" w:rsidR="001E33CF" w:rsidRPr="001E33CF" w:rsidRDefault="001E33CF" w:rsidP="001E33CF">
            <w:pPr>
              <w:rPr>
                <w:rFonts w:cs="Times New Roman"/>
                <w:lang w:val="en-GB"/>
              </w:rPr>
            </w:pPr>
            <w:r w:rsidRPr="001E33CF">
              <w:rPr>
                <w:rFonts w:cs="Times New Roman"/>
                <w:lang w:val="en-GB"/>
              </w:rPr>
              <w:t>PVC</w:t>
            </w:r>
          </w:p>
        </w:tc>
        <w:tc>
          <w:tcPr>
            <w:tcW w:w="4531" w:type="dxa"/>
          </w:tcPr>
          <w:p w14:paraId="0513C164" w14:textId="77777777" w:rsidR="001E33CF" w:rsidRPr="001E33CF" w:rsidRDefault="001E33CF" w:rsidP="001E33CF">
            <w:pPr>
              <w:rPr>
                <w:rFonts w:cs="Times New Roman"/>
                <w:lang w:val="en-GB"/>
              </w:rPr>
            </w:pPr>
            <w:r w:rsidRPr="001E33CF">
              <w:rPr>
                <w:rFonts w:cs="Times New Roman"/>
                <w:lang w:val="en-GB"/>
              </w:rPr>
              <w:t xml:space="preserve">10% </w:t>
            </w:r>
          </w:p>
        </w:tc>
      </w:tr>
      <w:tr w:rsidR="001E33CF" w:rsidRPr="001E33CF" w14:paraId="06F837C6" w14:textId="77777777" w:rsidTr="00A72A55">
        <w:tc>
          <w:tcPr>
            <w:tcW w:w="4531" w:type="dxa"/>
          </w:tcPr>
          <w:p w14:paraId="20FD2EF8" w14:textId="77777777" w:rsidR="001E33CF" w:rsidRPr="001E33CF" w:rsidRDefault="001E33CF" w:rsidP="001E33CF">
            <w:pPr>
              <w:rPr>
                <w:rFonts w:cs="Times New Roman"/>
                <w:lang w:val="en-GB"/>
              </w:rPr>
            </w:pPr>
            <w:r w:rsidRPr="001E33CF">
              <w:rPr>
                <w:rFonts w:cs="Times New Roman"/>
                <w:lang w:val="en-GB"/>
              </w:rPr>
              <w:t>Aluminium (electrolytic)</w:t>
            </w:r>
          </w:p>
        </w:tc>
        <w:tc>
          <w:tcPr>
            <w:tcW w:w="4531" w:type="dxa"/>
          </w:tcPr>
          <w:p w14:paraId="2BFF94B2" w14:textId="77777777" w:rsidR="001E33CF" w:rsidRPr="001E33CF" w:rsidRDefault="001E33CF" w:rsidP="001E33CF">
            <w:pPr>
              <w:rPr>
                <w:rFonts w:cs="Times New Roman"/>
                <w:lang w:val="en-GB"/>
              </w:rPr>
            </w:pPr>
            <w:r w:rsidRPr="001E33CF">
              <w:rPr>
                <w:rFonts w:cs="Times New Roman"/>
                <w:lang w:val="en-GB"/>
              </w:rPr>
              <w:t>9%</w:t>
            </w:r>
          </w:p>
        </w:tc>
      </w:tr>
      <w:tr w:rsidR="001E33CF" w:rsidRPr="001E33CF" w14:paraId="2F082581" w14:textId="77777777" w:rsidTr="00A72A55">
        <w:tc>
          <w:tcPr>
            <w:tcW w:w="4531" w:type="dxa"/>
          </w:tcPr>
          <w:p w14:paraId="7B8068DD" w14:textId="77777777" w:rsidR="001E33CF" w:rsidRPr="001E33CF" w:rsidRDefault="001E33CF" w:rsidP="001E33CF">
            <w:pPr>
              <w:rPr>
                <w:rFonts w:cs="Times New Roman"/>
                <w:lang w:val="en-GB"/>
              </w:rPr>
            </w:pPr>
            <w:r w:rsidRPr="001E33CF">
              <w:rPr>
                <w:rFonts w:cs="Times New Roman"/>
                <w:lang w:val="en-GB"/>
              </w:rPr>
              <w:t>Magnesium (smelted)</w:t>
            </w:r>
          </w:p>
        </w:tc>
        <w:tc>
          <w:tcPr>
            <w:tcW w:w="4531" w:type="dxa"/>
          </w:tcPr>
          <w:p w14:paraId="0843E07F" w14:textId="77777777" w:rsidR="001E33CF" w:rsidRPr="001E33CF" w:rsidRDefault="001E33CF" w:rsidP="001E33CF">
            <w:pPr>
              <w:rPr>
                <w:rFonts w:cs="Times New Roman"/>
                <w:lang w:val="en-GB"/>
              </w:rPr>
            </w:pPr>
            <w:r w:rsidRPr="001E33CF">
              <w:rPr>
                <w:rFonts w:cs="Times New Roman"/>
                <w:lang w:val="en-GB"/>
              </w:rPr>
              <w:t>5%</w:t>
            </w:r>
          </w:p>
        </w:tc>
      </w:tr>
      <w:tr w:rsidR="001E33CF" w:rsidRPr="001E33CF" w14:paraId="68A8C86E" w14:textId="77777777" w:rsidTr="00A72A55">
        <w:tc>
          <w:tcPr>
            <w:tcW w:w="4531" w:type="dxa"/>
          </w:tcPr>
          <w:p w14:paraId="669396A2" w14:textId="77777777" w:rsidR="001E33CF" w:rsidRPr="001E33CF" w:rsidRDefault="001E33CF" w:rsidP="001E33CF">
            <w:pPr>
              <w:rPr>
                <w:rFonts w:cs="Times New Roman"/>
                <w:lang w:val="en-GB"/>
              </w:rPr>
            </w:pPr>
            <w:r w:rsidRPr="001E33CF">
              <w:rPr>
                <w:rFonts w:cs="Times New Roman"/>
                <w:lang w:val="en-GB"/>
              </w:rPr>
              <w:t>Mined zinc</w:t>
            </w:r>
          </w:p>
        </w:tc>
        <w:tc>
          <w:tcPr>
            <w:tcW w:w="4531" w:type="dxa"/>
          </w:tcPr>
          <w:p w14:paraId="4706BDB6" w14:textId="77777777" w:rsidR="001E33CF" w:rsidRPr="001E33CF" w:rsidRDefault="001E33CF" w:rsidP="001E33CF">
            <w:pPr>
              <w:rPr>
                <w:rFonts w:cs="Times New Roman"/>
                <w:lang w:val="en-GB"/>
              </w:rPr>
            </w:pPr>
            <w:r w:rsidRPr="001E33CF">
              <w:rPr>
                <w:rFonts w:cs="Times New Roman"/>
                <w:lang w:val="en-GB"/>
              </w:rPr>
              <w:t>4%</w:t>
            </w:r>
          </w:p>
        </w:tc>
      </w:tr>
      <w:tr w:rsidR="001E33CF" w:rsidRPr="001E33CF" w14:paraId="45515EF7" w14:textId="77777777" w:rsidTr="00A72A55">
        <w:tc>
          <w:tcPr>
            <w:tcW w:w="4531" w:type="dxa"/>
          </w:tcPr>
          <w:p w14:paraId="2E1E1195" w14:textId="77777777" w:rsidR="001E33CF" w:rsidRPr="001E33CF" w:rsidRDefault="001E33CF" w:rsidP="001E33CF">
            <w:pPr>
              <w:rPr>
                <w:rFonts w:cs="Times New Roman"/>
                <w:lang w:val="en-GB"/>
              </w:rPr>
            </w:pPr>
            <w:r w:rsidRPr="001E33CF">
              <w:rPr>
                <w:rFonts w:cs="Times New Roman"/>
                <w:lang w:val="en-GB"/>
              </w:rPr>
              <w:t>Lithium (carbonate equivalent)</w:t>
            </w:r>
          </w:p>
        </w:tc>
        <w:tc>
          <w:tcPr>
            <w:tcW w:w="4531" w:type="dxa"/>
          </w:tcPr>
          <w:p w14:paraId="52955100" w14:textId="77777777" w:rsidR="001E33CF" w:rsidRPr="001E33CF" w:rsidRDefault="001E33CF" w:rsidP="001E33CF">
            <w:pPr>
              <w:rPr>
                <w:rFonts w:cs="Times New Roman"/>
                <w:lang w:val="en-GB"/>
              </w:rPr>
            </w:pPr>
            <w:r w:rsidRPr="001E33CF">
              <w:rPr>
                <w:rFonts w:cs="Times New Roman"/>
                <w:lang w:val="en-GB"/>
              </w:rPr>
              <w:t>1.5%</w:t>
            </w:r>
          </w:p>
        </w:tc>
      </w:tr>
    </w:tbl>
    <w:p w14:paraId="40A325A7" w14:textId="77777777" w:rsidR="001E33CF" w:rsidRDefault="001E33CF" w:rsidP="00D64F6B">
      <w:pPr>
        <w:rPr>
          <w:rFonts w:cs="Times New Roman"/>
          <w:lang w:val="en-GB"/>
        </w:rPr>
      </w:pPr>
    </w:p>
    <w:p w14:paraId="53B288E4" w14:textId="77777777" w:rsidR="002C4D06" w:rsidRDefault="002C4D06" w:rsidP="00D64F6B">
      <w:pPr>
        <w:rPr>
          <w:rFonts w:cs="Times New Roman"/>
          <w:lang w:val="en-GB"/>
        </w:rPr>
      </w:pPr>
    </w:p>
    <w:p w14:paraId="659037BB" w14:textId="77777777" w:rsidR="002C4D06" w:rsidRDefault="002C4D06" w:rsidP="002C4D06">
      <w:pPr>
        <w:rPr>
          <w:rFonts w:cs="Times New Roman"/>
          <w:lang w:val="en-GB"/>
        </w:rPr>
      </w:pPr>
      <w:r w:rsidRPr="00646432">
        <w:rPr>
          <w:rFonts w:cs="Times New Roman"/>
          <w:lang w:val="en-GB"/>
        </w:rPr>
        <w:t>One of the most critical areas for the EU is the use of solar panels. With growing demand linked to the EU’s green transition, 98% of imported solar panels to the EU came from China in 2023 (Eurostat 2024). In 2020, 54% of China’s polysilicon, which is essential for producing solar wafers, was sourced from Xinjiang. Polysilicon from Xinjiang accounts for around 45% of the global supply</w:t>
      </w:r>
      <w:r>
        <w:rPr>
          <w:rFonts w:cs="Times New Roman"/>
          <w:lang w:val="en-GB"/>
        </w:rPr>
        <w:t xml:space="preserve"> </w:t>
      </w:r>
      <w:r w:rsidRPr="00646432">
        <w:rPr>
          <w:rFonts w:cs="Times New Roman"/>
          <w:lang w:val="en-GB"/>
        </w:rPr>
        <w:t xml:space="preserve">(Murphy and </w:t>
      </w:r>
      <w:proofErr w:type="spellStart"/>
      <w:r w:rsidRPr="00646432">
        <w:rPr>
          <w:rFonts w:cs="Times New Roman"/>
          <w:lang w:val="en-GB"/>
        </w:rPr>
        <w:t>Elimä</w:t>
      </w:r>
      <w:proofErr w:type="spellEnd"/>
      <w:r w:rsidRPr="00646432">
        <w:rPr>
          <w:rFonts w:cs="Times New Roman"/>
          <w:lang w:val="en-GB"/>
        </w:rPr>
        <w:t xml:space="preserve"> 2021). Xinjiang’s green technology production also includes lithium batteries, hundreds of millions of which have been produced in the region and are used not only in the automotive sector but also in smartphones, tablets, and wind turbines (Global Rights Compliance 2025, 7). </w:t>
      </w:r>
    </w:p>
    <w:p w14:paraId="14FE72D4" w14:textId="77777777" w:rsidR="002D764B" w:rsidRPr="00646432" w:rsidRDefault="002D764B" w:rsidP="002C4D06">
      <w:pPr>
        <w:rPr>
          <w:rFonts w:cs="Times New Roman"/>
          <w:lang w:val="en-GB"/>
        </w:rPr>
      </w:pPr>
    </w:p>
    <w:p w14:paraId="68B6EE67" w14:textId="77777777" w:rsidR="002C4D06" w:rsidRDefault="002C4D06" w:rsidP="002C4D06">
      <w:pPr>
        <w:rPr>
          <w:rFonts w:cs="Times New Roman"/>
          <w:noProof/>
          <w:lang w:val="en-GB"/>
        </w:rPr>
      </w:pPr>
      <w:r w:rsidRPr="00646432">
        <w:rPr>
          <w:rFonts w:cs="Times New Roman"/>
          <w:lang w:val="en-GB"/>
        </w:rPr>
        <w:t xml:space="preserve">Other mined and processed materials in Xinjiang include aluminium, magnesium, zinc, copper, titanium, beryllium and vanadium. Xinjiang produces more aluminium than any country outside China (Human Rights Watch 2024, 26). Overall, there are proven reserves of 103 types of minerals in Xinjiang, with 77 being among the most significant reserves in China (Global Rights Compliance 2025, 5). Apart from that, other minerals are transferred to Xinjiang for processing, likely due to cheap energy, readily available labour, and limited concern for environmental impact. </w:t>
      </w:r>
      <w:r w:rsidRPr="00646432">
        <w:rPr>
          <w:rFonts w:cs="Times New Roman"/>
          <w:noProof/>
          <w:lang w:val="en-GB"/>
        </w:rPr>
        <w:t xml:space="preserve">There is estimated coal resource of 2.19 trillion tonnes in the region, constituting 40% of China’s total coal reserves (Bian et. al 2024). </w:t>
      </w:r>
    </w:p>
    <w:p w14:paraId="7B5BA729" w14:textId="77777777" w:rsidR="002D764B" w:rsidRPr="00646432" w:rsidRDefault="002D764B" w:rsidP="002C4D06">
      <w:pPr>
        <w:rPr>
          <w:rFonts w:cs="Times New Roman"/>
          <w:noProof/>
          <w:lang w:val="en-GB"/>
        </w:rPr>
      </w:pPr>
    </w:p>
    <w:p w14:paraId="4CE4CDB8" w14:textId="77777777" w:rsidR="002C4D06" w:rsidRDefault="002C4D06" w:rsidP="002C4D06">
      <w:pPr>
        <w:rPr>
          <w:rFonts w:cs="Times New Roman"/>
          <w:lang w:val="en-GB"/>
        </w:rPr>
      </w:pPr>
      <w:r w:rsidRPr="00646432">
        <w:rPr>
          <w:rFonts w:cs="Times New Roman"/>
          <w:lang w:val="en-GB"/>
        </w:rPr>
        <w:t>The materials from Xinjiang are used in</w:t>
      </w:r>
      <w:r w:rsidRPr="00646432">
        <w:rPr>
          <w:rFonts w:cs="Times New Roman"/>
          <w:noProof/>
          <w:lang w:val="en-GB"/>
        </w:rPr>
        <w:t xml:space="preserve"> many important industries, including steel manufacturing, automotive (including electric vehicles), chemicals processing, aerspace, pharmacetucial, defence, information and communication technologies and green technologies </w:t>
      </w:r>
      <w:r w:rsidRPr="00646432">
        <w:rPr>
          <w:rFonts w:cs="Times New Roman"/>
          <w:lang w:val="en-GB"/>
        </w:rPr>
        <w:t xml:space="preserve">(Global Rights Compliance 2025, 15). For example, the region accounts for almost 12% of the global production of titanium sponge, a critical source </w:t>
      </w:r>
      <w:proofErr w:type="gramStart"/>
      <w:r w:rsidRPr="00646432">
        <w:rPr>
          <w:rFonts w:cs="Times New Roman"/>
          <w:lang w:val="en-GB"/>
        </w:rPr>
        <w:t>for the production of</w:t>
      </w:r>
      <w:proofErr w:type="gramEnd"/>
      <w:r w:rsidRPr="00646432">
        <w:rPr>
          <w:rFonts w:cs="Times New Roman"/>
          <w:lang w:val="en-GB"/>
        </w:rPr>
        <w:t xml:space="preserve"> parts used in aerospace and automotive industries. Xinjiang also accounts for 11% of global beryllium mine production which is used in aerospace, defence, telecommunications, and electronics (Global Rights Compliance 2025, 7).</w:t>
      </w:r>
    </w:p>
    <w:p w14:paraId="67DDDFB1" w14:textId="77777777" w:rsidR="002D764B" w:rsidRDefault="002D764B" w:rsidP="002C4D06">
      <w:pPr>
        <w:rPr>
          <w:rFonts w:cs="Times New Roman"/>
          <w:lang w:val="en-GB"/>
        </w:rPr>
      </w:pPr>
    </w:p>
    <w:p w14:paraId="1000A504" w14:textId="77777777" w:rsidR="002D764B" w:rsidRDefault="002D764B" w:rsidP="002C4D06">
      <w:pPr>
        <w:rPr>
          <w:rFonts w:cs="Times New Roman"/>
          <w:lang w:val="en-GB"/>
        </w:rPr>
      </w:pPr>
    </w:p>
    <w:p w14:paraId="0E7CFB2E" w14:textId="77777777" w:rsidR="002D764B" w:rsidRDefault="002D764B" w:rsidP="002C4D06">
      <w:pPr>
        <w:rPr>
          <w:rFonts w:cs="Times New Roman"/>
          <w:lang w:val="en-GB"/>
        </w:rPr>
      </w:pPr>
    </w:p>
    <w:p w14:paraId="73A6EAF2" w14:textId="77777777" w:rsidR="002C4D06" w:rsidRDefault="002C4D06" w:rsidP="00D64F6B">
      <w:pPr>
        <w:rPr>
          <w:rFonts w:cs="Times New Roman"/>
          <w:lang w:val="en-GB"/>
        </w:rPr>
      </w:pPr>
    </w:p>
    <w:p w14:paraId="7C9B1D27" w14:textId="77777777" w:rsidR="00280899" w:rsidRDefault="00280899" w:rsidP="00D64F6B">
      <w:pPr>
        <w:rPr>
          <w:rFonts w:cs="Times New Roman"/>
          <w:lang w:val="en-GB"/>
        </w:rPr>
      </w:pPr>
    </w:p>
    <w:p w14:paraId="429180DD" w14:textId="77777777" w:rsidR="002D764B" w:rsidRDefault="002D764B" w:rsidP="00280899">
      <w:pPr>
        <w:pStyle w:val="Nadpis1"/>
      </w:pPr>
    </w:p>
    <w:p w14:paraId="2AF82A3F" w14:textId="6BBCBC52" w:rsidR="00280899" w:rsidRPr="009749DC" w:rsidRDefault="00280899" w:rsidP="00280899">
      <w:pPr>
        <w:pStyle w:val="Nadpis1"/>
      </w:pPr>
      <w:bookmarkStart w:id="4" w:name="_Toc210988697"/>
      <w:r w:rsidRPr="009749DC">
        <w:t>Ties between global supply chains and repressive programs</w:t>
      </w:r>
      <w:bookmarkEnd w:id="4"/>
    </w:p>
    <w:p w14:paraId="37A408F3" w14:textId="77777777" w:rsidR="00280899" w:rsidRPr="00646432" w:rsidRDefault="00280899" w:rsidP="00D64F6B">
      <w:pPr>
        <w:rPr>
          <w:rFonts w:cs="Times New Roman"/>
          <w:lang w:val="en-GB"/>
        </w:rPr>
      </w:pPr>
    </w:p>
    <w:p w14:paraId="613046D9" w14:textId="77777777" w:rsidR="000B20A3" w:rsidRDefault="000B20A3" w:rsidP="000B20A3">
      <w:pPr>
        <w:rPr>
          <w:rFonts w:cs="Times New Roman"/>
          <w:lang w:val="en-GB"/>
        </w:rPr>
      </w:pPr>
      <w:r w:rsidRPr="00646432">
        <w:rPr>
          <w:rFonts w:cs="Times New Roman"/>
          <w:lang w:val="en-GB"/>
        </w:rPr>
        <w:t>The report by Human Rights Watch found that companies sourcing aluminium for the automotive industry are involved in organized labour transfers for Uyghur workers (see Image 1). Several Xinjiang companies which participated in official transfer programs were identified as suppliers to companies linked to BMW, Mercedes Benz and Volkswagen (Human Rights Watch 2024). This included the Camel Group which is proven to organize closed ideological and militarized training for transferred workers (Hennig 2024, 4). Materials from Xinjiang may also be present in cars imported from China, including those produced by BYD, MG, and Tesla (Asleep at the Wheel).</w:t>
      </w:r>
      <w:r w:rsidRPr="00646432">
        <w:rPr>
          <w:rFonts w:cs="Times New Roman"/>
          <w:i/>
          <w:iCs/>
          <w:lang w:val="en-GB"/>
        </w:rPr>
        <w:t xml:space="preserve"> </w:t>
      </w:r>
      <w:r w:rsidRPr="00646432">
        <w:rPr>
          <w:rFonts w:cs="Times New Roman"/>
          <w:lang w:val="en-GB"/>
        </w:rPr>
        <w:t>Data from the first two years of UFLPA enforcement indicate that 71% of targeted inspections of shipments of automotive and aerospace parts to the United States were denied entry on the suspicion of forced labour (Human Rights Watch 2024, 91).</w:t>
      </w:r>
    </w:p>
    <w:p w14:paraId="40702739" w14:textId="77777777" w:rsidR="0091072E" w:rsidRPr="00646432" w:rsidRDefault="0091072E" w:rsidP="000B20A3">
      <w:pPr>
        <w:rPr>
          <w:rFonts w:cs="Times New Roman"/>
          <w:lang w:val="en-GB"/>
        </w:rPr>
      </w:pPr>
    </w:p>
    <w:p w14:paraId="11A9C9F2" w14:textId="7AD41201" w:rsidR="006C5258" w:rsidRPr="00F23F87" w:rsidRDefault="0091072E" w:rsidP="002D764B">
      <w:pPr>
        <w:jc w:val="center"/>
        <w:rPr>
          <w:rFonts w:cs="Times New Roman"/>
          <w:i/>
          <w:iCs/>
          <w:lang w:val="en-GB"/>
        </w:rPr>
      </w:pPr>
      <w:r w:rsidRPr="00F23F87">
        <w:rPr>
          <w:rFonts w:cs="Times New Roman"/>
          <w:i/>
          <w:iCs/>
          <w:lang w:val="en-GB"/>
        </w:rPr>
        <w:t>Image 1: Departure of Uyghur workers in June 2017 to factories, including the Xinjiang East Hope</w:t>
      </w:r>
    </w:p>
    <w:p w14:paraId="2E7C555C" w14:textId="102724C5" w:rsidR="0050497E" w:rsidRDefault="0091072E" w:rsidP="00F23F87">
      <w:pPr>
        <w:jc w:val="center"/>
        <w:rPr>
          <w:rFonts w:cs="Times New Roman"/>
          <w:i/>
          <w:iCs/>
          <w:lang w:val="en-GB"/>
        </w:rPr>
      </w:pPr>
      <w:r w:rsidRPr="00F23F87">
        <w:rPr>
          <w:rFonts w:cs="Times New Roman"/>
          <w:i/>
          <w:iCs/>
          <w:lang w:val="en-GB"/>
        </w:rPr>
        <w:t>Nonferrous Metals Company (Human Rights Watch 2024, 41; original source: Qira County).</w:t>
      </w:r>
    </w:p>
    <w:p w14:paraId="306F168C" w14:textId="77777777" w:rsidR="00F23F87" w:rsidRPr="00F23F87" w:rsidRDefault="00F23F87" w:rsidP="00F23F87">
      <w:pPr>
        <w:jc w:val="center"/>
        <w:rPr>
          <w:rFonts w:cs="Times New Roman"/>
          <w:i/>
          <w:iCs/>
          <w:lang w:val="en-GB"/>
        </w:rPr>
      </w:pPr>
    </w:p>
    <w:p w14:paraId="1A1A9C3F" w14:textId="5E82CA3D" w:rsidR="0091072E" w:rsidRPr="00646432" w:rsidRDefault="004126E5" w:rsidP="00CA71A5">
      <w:pPr>
        <w:jc w:val="center"/>
        <w:rPr>
          <w:b/>
          <w:bCs/>
        </w:rPr>
      </w:pPr>
      <w:r w:rsidRPr="00646432">
        <w:rPr>
          <w:noProof/>
        </w:rPr>
        <w:drawing>
          <wp:inline distT="0" distB="0" distL="0" distR="0" wp14:anchorId="5A955BE0" wp14:editId="00A3F723">
            <wp:extent cx="5561100" cy="3701291"/>
            <wp:effectExtent l="0" t="0" r="1905" b="0"/>
            <wp:docPr id="5980240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6" cy="3737795"/>
                    </a:xfrm>
                    <a:prstGeom prst="rect">
                      <a:avLst/>
                    </a:prstGeom>
                    <a:noFill/>
                    <a:ln>
                      <a:noFill/>
                    </a:ln>
                  </pic:spPr>
                </pic:pic>
              </a:graphicData>
            </a:graphic>
          </wp:inline>
        </w:drawing>
      </w:r>
    </w:p>
    <w:p w14:paraId="0BB2A410" w14:textId="77777777" w:rsidR="0050497E" w:rsidRPr="00646432" w:rsidRDefault="0050497E" w:rsidP="000A6F0D">
      <w:pPr>
        <w:rPr>
          <w:rFonts w:cs="Times New Roman"/>
          <w:lang w:val="en-GB"/>
        </w:rPr>
      </w:pPr>
    </w:p>
    <w:p w14:paraId="3B6D4ED6" w14:textId="77777777" w:rsidR="00DE2963" w:rsidRDefault="00DE2963" w:rsidP="00DE2963">
      <w:pPr>
        <w:rPr>
          <w:rFonts w:cs="Times New Roman"/>
          <w:lang w:val="en-GB"/>
        </w:rPr>
      </w:pPr>
      <w:r w:rsidRPr="00646432">
        <w:rPr>
          <w:rFonts w:cs="Times New Roman"/>
          <w:lang w:val="en-GB"/>
        </w:rPr>
        <w:t xml:space="preserve">Xinjiang is also home to the largest PVC producers, accounting for one-tenth of the global PVC production. Producers in the region have been confirmed to participate in repressive programmes, including labour transfers. For example, Zhongtai Chemical received transferred workers who were first subjected to six months of militarised training that included Chinese Communist Party (CCP) ideology (Murphy, Vallette, and </w:t>
      </w:r>
      <w:proofErr w:type="spellStart"/>
      <w:r w:rsidRPr="00646432">
        <w:rPr>
          <w:rFonts w:cs="Times New Roman"/>
          <w:lang w:val="en-GB"/>
        </w:rPr>
        <w:t>Elimä</w:t>
      </w:r>
      <w:proofErr w:type="spellEnd"/>
      <w:r w:rsidRPr="00646432">
        <w:rPr>
          <w:rFonts w:cs="Times New Roman"/>
          <w:lang w:val="en-GB"/>
        </w:rPr>
        <w:t xml:space="preserve"> 2024, 13–14). </w:t>
      </w:r>
    </w:p>
    <w:p w14:paraId="183B78D1" w14:textId="77777777" w:rsidR="00124821" w:rsidRPr="00646432" w:rsidRDefault="00124821" w:rsidP="00DE2963">
      <w:pPr>
        <w:rPr>
          <w:rFonts w:cs="Times New Roman"/>
          <w:lang w:val="en-GB"/>
        </w:rPr>
      </w:pPr>
    </w:p>
    <w:p w14:paraId="6B762E79" w14:textId="77777777" w:rsidR="00DE2963" w:rsidRDefault="00DE2963" w:rsidP="00DE2963">
      <w:pPr>
        <w:rPr>
          <w:rFonts w:cs="Times New Roman"/>
          <w:lang w:val="en-GB"/>
        </w:rPr>
      </w:pPr>
      <w:r w:rsidRPr="00646432">
        <w:rPr>
          <w:rFonts w:cs="Times New Roman"/>
          <w:lang w:val="en-GB"/>
        </w:rPr>
        <w:t xml:space="preserve">Apart from PVC, Zhongtai also exports caustic soda, a by-product of PVC manufacturing to the EU. The potential downstream supply chain of Zhongtai’s products includes European companies such as Nestlé Hungaria and Danish </w:t>
      </w:r>
      <w:proofErr w:type="spellStart"/>
      <w:r w:rsidRPr="00646432">
        <w:rPr>
          <w:rFonts w:cs="Times New Roman"/>
          <w:lang w:val="en-GB"/>
        </w:rPr>
        <w:t>Eurogum</w:t>
      </w:r>
      <w:proofErr w:type="spellEnd"/>
      <w:r w:rsidRPr="00646432">
        <w:rPr>
          <w:rFonts w:cs="Times New Roman"/>
          <w:lang w:val="en-GB"/>
        </w:rPr>
        <w:t xml:space="preserve"> (Murphy, Vallette, and </w:t>
      </w:r>
      <w:proofErr w:type="spellStart"/>
      <w:r w:rsidRPr="00646432">
        <w:rPr>
          <w:rFonts w:cs="Times New Roman"/>
          <w:lang w:val="en-GB"/>
        </w:rPr>
        <w:t>Elimä</w:t>
      </w:r>
      <w:proofErr w:type="spellEnd"/>
      <w:r w:rsidRPr="00646432">
        <w:rPr>
          <w:rFonts w:cs="Times New Roman"/>
          <w:lang w:val="en-GB"/>
        </w:rPr>
        <w:t xml:space="preserve"> 2024, 26). </w:t>
      </w:r>
    </w:p>
    <w:p w14:paraId="7CA221BD" w14:textId="77777777" w:rsidR="00124821" w:rsidRDefault="00124821" w:rsidP="00DE2963">
      <w:pPr>
        <w:rPr>
          <w:rFonts w:cs="Times New Roman"/>
          <w:lang w:val="en-GB"/>
        </w:rPr>
      </w:pPr>
    </w:p>
    <w:p w14:paraId="50CE484F" w14:textId="77777777" w:rsidR="00F23F87" w:rsidRDefault="00F23F87" w:rsidP="00DE2963">
      <w:pPr>
        <w:rPr>
          <w:rFonts w:cs="Times New Roman"/>
          <w:lang w:val="en-GB"/>
        </w:rPr>
      </w:pPr>
    </w:p>
    <w:p w14:paraId="1543562F" w14:textId="77777777" w:rsidR="00F23F87" w:rsidRDefault="00F23F87" w:rsidP="00DE2963">
      <w:pPr>
        <w:rPr>
          <w:rFonts w:cs="Times New Roman"/>
          <w:lang w:val="en-GB"/>
        </w:rPr>
      </w:pPr>
    </w:p>
    <w:p w14:paraId="2FE1C3C8" w14:textId="534DFECC" w:rsidR="00DE2963" w:rsidRPr="00F23F87" w:rsidRDefault="00DE2963" w:rsidP="00DE2963">
      <w:pPr>
        <w:rPr>
          <w:lang w:val="en-GB"/>
        </w:rPr>
      </w:pPr>
      <w:r w:rsidRPr="00646432">
        <w:rPr>
          <w:rFonts w:cs="Times New Roman"/>
          <w:lang w:val="en-GB"/>
        </w:rPr>
        <w:t>According to 2020 data, Xinjiang produces also around one-fifth of the world’s cotton, with evidence that Uyghurs are employed in cotton-picking through state-organised coercive schemes (Zenz 2020).</w:t>
      </w:r>
      <w:r w:rsidRPr="00646432">
        <w:rPr>
          <w:rStyle w:val="Odkaznapoznmkupodiarou"/>
          <w:lang w:val="en-GB"/>
        </w:rPr>
        <w:t xml:space="preserve"> </w:t>
      </w:r>
      <w:r>
        <w:rPr>
          <w:rFonts w:cs="Times New Roman"/>
          <w:lang w:val="en-GB"/>
        </w:rPr>
        <w:t xml:space="preserve">Production of polysilicon is also tied </w:t>
      </w:r>
      <w:r w:rsidRPr="00646432">
        <w:rPr>
          <w:rFonts w:cs="Times New Roman"/>
          <w:lang w:val="en-GB"/>
        </w:rPr>
        <w:t>t</w:t>
      </w:r>
      <w:r>
        <w:rPr>
          <w:rFonts w:cs="Times New Roman"/>
          <w:lang w:val="en-GB"/>
        </w:rPr>
        <w:t>o</w:t>
      </w:r>
      <w:r w:rsidRPr="00646432">
        <w:rPr>
          <w:rFonts w:cs="Times New Roman"/>
          <w:lang w:val="en-GB"/>
        </w:rPr>
        <w:t xml:space="preserve"> government repressive programmes, with production facilities being </w:t>
      </w:r>
      <w:r>
        <w:rPr>
          <w:rFonts w:cs="Times New Roman"/>
          <w:lang w:val="en-GB"/>
        </w:rPr>
        <w:t xml:space="preserve">even </w:t>
      </w:r>
      <w:r w:rsidRPr="00646432">
        <w:rPr>
          <w:rFonts w:cs="Times New Roman"/>
          <w:lang w:val="en-GB"/>
        </w:rPr>
        <w:t xml:space="preserve">co-located with detention camps (Murphy and </w:t>
      </w:r>
      <w:proofErr w:type="spellStart"/>
      <w:r w:rsidRPr="00646432">
        <w:rPr>
          <w:rFonts w:cs="Times New Roman"/>
          <w:lang w:val="en-GB"/>
        </w:rPr>
        <w:t>Elimä</w:t>
      </w:r>
      <w:proofErr w:type="spellEnd"/>
      <w:r w:rsidRPr="00646432">
        <w:rPr>
          <w:rFonts w:cs="Times New Roman"/>
          <w:lang w:val="en-GB"/>
        </w:rPr>
        <w:t xml:space="preserve"> 2021).</w:t>
      </w:r>
    </w:p>
    <w:p w14:paraId="44FD85F3" w14:textId="77777777" w:rsidR="00124821" w:rsidRDefault="00124821" w:rsidP="00DE2963">
      <w:pPr>
        <w:rPr>
          <w:rFonts w:cs="Times New Roman"/>
          <w:lang w:val="en-GB"/>
        </w:rPr>
      </w:pPr>
    </w:p>
    <w:p w14:paraId="530BA98E" w14:textId="3EEBAB8B" w:rsidR="000A6F0D" w:rsidRPr="00F23F87" w:rsidRDefault="00DE2963" w:rsidP="00F23F87">
      <w:pPr>
        <w:rPr>
          <w:rFonts w:cs="Times New Roman"/>
          <w:lang w:val="en-GB"/>
        </w:rPr>
      </w:pPr>
      <w:r w:rsidRPr="00646432">
        <w:rPr>
          <w:rFonts w:cs="Times New Roman"/>
          <w:lang w:val="en-GB"/>
        </w:rPr>
        <w:t>In summary, materials and products made with forced labour in Xinjiang can reach European consumers in many ways. The highest risk concerns goods imported directly from China, such as solar panels, electronics, cars, PVC flooring, chemicals, and clothing. However, materials and intermediate products from Xinjiang are also used by European companies, which may import them either directly from China or as already processed or resold products through other suppliers in third countries. Given the complexity of supply chains and their low transparency, European companies may be unaware of this. Finally, consumers might also find themselves linked to forced labour practices through the acquisition of goods imported from third countries.</w:t>
      </w:r>
    </w:p>
    <w:p w14:paraId="6D75740C" w14:textId="77777777" w:rsidR="00871E25" w:rsidRDefault="00871E25" w:rsidP="00661542">
      <w:pPr>
        <w:pStyle w:val="Nadpis1"/>
      </w:pPr>
    </w:p>
    <w:p w14:paraId="008251B5" w14:textId="77777777" w:rsidR="00871E25" w:rsidRPr="00646432" w:rsidRDefault="00871E25" w:rsidP="00871E25">
      <w:pPr>
        <w:pStyle w:val="Nadpis1"/>
      </w:pPr>
      <w:bookmarkStart w:id="5" w:name="_Toc210988698"/>
      <w:r>
        <w:t>Limitations of Enforcement</w:t>
      </w:r>
      <w:r w:rsidRPr="00646432">
        <w:t xml:space="preserve"> of the Regulation in the case of </w:t>
      </w:r>
      <w:r>
        <w:t>China</w:t>
      </w:r>
      <w:bookmarkEnd w:id="5"/>
    </w:p>
    <w:p w14:paraId="564A6E9D" w14:textId="77777777" w:rsidR="00871E25" w:rsidRDefault="00871E25" w:rsidP="00661542">
      <w:pPr>
        <w:pStyle w:val="Nadpis1"/>
      </w:pPr>
    </w:p>
    <w:p w14:paraId="7A7CAAD6" w14:textId="77777777" w:rsidR="006C5258" w:rsidRDefault="00E61696" w:rsidP="00E61696">
      <w:pPr>
        <w:rPr>
          <w:rFonts w:cs="Times New Roman"/>
          <w:lang w:val="en-GB"/>
        </w:rPr>
      </w:pPr>
      <w:r w:rsidRPr="00646432">
        <w:rPr>
          <w:rFonts w:cs="Times New Roman"/>
          <w:lang w:val="en-GB"/>
        </w:rPr>
        <w:t xml:space="preserve">Although representatives of EU institutions stated that the Regulation was not aimed at China (Interviews 3, 4) and that China was “hardly mentioned during the negotiations” (Interview 3), think tank representatives expressed a different view, arguing that China, and Xinjiang in particular, was one of the main reasons for adopting the </w:t>
      </w:r>
      <w:r>
        <w:rPr>
          <w:rFonts w:cs="Times New Roman"/>
          <w:lang w:val="en-GB"/>
        </w:rPr>
        <w:t>R</w:t>
      </w:r>
      <w:r w:rsidRPr="00646432">
        <w:rPr>
          <w:rFonts w:cs="Times New Roman"/>
          <w:lang w:val="en-GB"/>
        </w:rPr>
        <w:t xml:space="preserve">egulation (Interviews 7, 8, 9, 11). As one respondent put it, “China </w:t>
      </w:r>
    </w:p>
    <w:p w14:paraId="64817102" w14:textId="1BB2D1A0" w:rsidR="00E61696" w:rsidRDefault="00E61696" w:rsidP="00E61696">
      <w:pPr>
        <w:rPr>
          <w:rFonts w:cs="Times New Roman"/>
          <w:lang w:val="en-GB"/>
        </w:rPr>
      </w:pPr>
      <w:r w:rsidRPr="00646432">
        <w:rPr>
          <w:rFonts w:cs="Times New Roman"/>
          <w:lang w:val="en-GB"/>
        </w:rPr>
        <w:t xml:space="preserve">is the main target of the regulation, but they will not openly say that” (Interview 11). In fact, forced labour in Xinjiang is explicitly mentioned in the </w:t>
      </w:r>
      <w:r>
        <w:rPr>
          <w:rFonts w:cs="Times New Roman"/>
          <w:lang w:val="en-GB"/>
        </w:rPr>
        <w:t>R</w:t>
      </w:r>
      <w:r w:rsidRPr="00646432">
        <w:rPr>
          <w:rFonts w:cs="Times New Roman"/>
          <w:lang w:val="en-GB"/>
        </w:rPr>
        <w:t>egulation’s preamble (Recital 15). Compared to the US approach, however, most respondents agreed that the EU aims to ensure that its measures are less politicised, not directed at a single country, and more value-based. This is in line with the fact that the Regulation does not target a single region but will have a global impact, including within the EU itself.</w:t>
      </w:r>
    </w:p>
    <w:p w14:paraId="48ED365A" w14:textId="77777777" w:rsidR="00200D01" w:rsidRPr="00646432" w:rsidRDefault="00200D01" w:rsidP="00E61696">
      <w:pPr>
        <w:rPr>
          <w:rFonts w:cs="Times New Roman"/>
          <w:lang w:val="en-GB"/>
        </w:rPr>
      </w:pPr>
    </w:p>
    <w:p w14:paraId="54D9465F" w14:textId="77777777" w:rsidR="00E61696" w:rsidRDefault="00E61696" w:rsidP="00E61696">
      <w:pPr>
        <w:rPr>
          <w:rFonts w:cs="Times New Roman"/>
          <w:lang w:val="en-GB"/>
        </w:rPr>
      </w:pPr>
      <w:r w:rsidRPr="00646432">
        <w:rPr>
          <w:rFonts w:cs="Times New Roman"/>
          <w:lang w:val="en-GB"/>
        </w:rPr>
        <w:t xml:space="preserve">All respondents without exception, whether </w:t>
      </w:r>
      <w:proofErr w:type="gramStart"/>
      <w:r w:rsidRPr="00646432">
        <w:rPr>
          <w:rFonts w:cs="Times New Roman"/>
          <w:lang w:val="en-GB"/>
        </w:rPr>
        <w:t>policy-makers</w:t>
      </w:r>
      <w:proofErr w:type="gramEnd"/>
      <w:r w:rsidRPr="00646432">
        <w:rPr>
          <w:rFonts w:cs="Times New Roman"/>
          <w:lang w:val="en-GB"/>
        </w:rPr>
        <w:t>, representatives, academics, or think tank experts, agreed that enforcing the regulation will be complicated and expressed scepticism that it will be fully applied to cases related to Xinjiang. The most frequently mentioned problem, on which respondents across sectors agreed, was the EU’s insufficient resilience and excessive dependence on China in strategic industries, which limits its ability to make value-based decisions. Even a representative of an EU institution admitted that decisions on product bans would not be based solely on evidence but would also be partly political and strategic, considering the potential impacts on the EU’s strategic security (Interview 3). Other respondents expressed similar views, noting, for example, that “the Commission will have to consider the strategic importance of a potential ban” (Interview 6), “in case of high-level dependency with no alternatives, there will be low probability of banning” (Interview 10), “decisions will also be a political question” (Interview 9), or “the regulation will not be enforced fully in strategic sectors” (Interview 11).</w:t>
      </w:r>
      <w:r>
        <w:rPr>
          <w:rFonts w:cs="Times New Roman"/>
          <w:lang w:val="en-GB"/>
        </w:rPr>
        <w:t xml:space="preserve"> </w:t>
      </w:r>
      <w:r w:rsidRPr="00646432">
        <w:rPr>
          <w:rFonts w:cs="Times New Roman"/>
          <w:lang w:val="en-GB"/>
        </w:rPr>
        <w:t>The most common examples cited in relation to Xinjiang were solar panels and critical raw materials, for which the EU struggles to find alternatives.</w:t>
      </w:r>
      <w:r>
        <w:rPr>
          <w:rFonts w:cs="Times New Roman"/>
          <w:lang w:val="en-GB"/>
        </w:rPr>
        <w:t xml:space="preserve"> When</w:t>
      </w:r>
      <w:r w:rsidRPr="00646432">
        <w:rPr>
          <w:rFonts w:cs="Times New Roman"/>
          <w:lang w:val="en-GB"/>
        </w:rPr>
        <w:t xml:space="preserve"> asked whether a general ban </w:t>
      </w:r>
      <w:r>
        <w:rPr>
          <w:rFonts w:cs="Times New Roman"/>
          <w:lang w:val="en-GB"/>
        </w:rPr>
        <w:t xml:space="preserve">targeting Xinjiang </w:t>
      </w:r>
      <w:r w:rsidRPr="00646432">
        <w:rPr>
          <w:rFonts w:cs="Times New Roman"/>
          <w:lang w:val="en-GB"/>
        </w:rPr>
        <w:t xml:space="preserve">is possible, </w:t>
      </w:r>
      <w:r>
        <w:rPr>
          <w:rFonts w:cs="Times New Roman"/>
          <w:lang w:val="en-GB"/>
        </w:rPr>
        <w:t xml:space="preserve">a </w:t>
      </w:r>
      <w:r w:rsidRPr="00646432">
        <w:rPr>
          <w:rFonts w:cs="Times New Roman"/>
          <w:lang w:val="en-GB"/>
        </w:rPr>
        <w:t>representative of the EU institutions stated that “the Commission will not be banning in bulk, that will not happen, it will be individual decisions focusing on the most evident cases” (Interview 4)</w:t>
      </w:r>
      <w:r>
        <w:rPr>
          <w:rFonts w:cs="Times New Roman"/>
          <w:lang w:val="en-GB"/>
        </w:rPr>
        <w:t>.</w:t>
      </w:r>
      <w:r w:rsidRPr="00646432">
        <w:rPr>
          <w:rFonts w:cs="Times New Roman"/>
          <w:lang w:val="en-GB"/>
        </w:rPr>
        <w:t xml:space="preserve"> A Czech representative to the EU </w:t>
      </w:r>
      <w:r>
        <w:rPr>
          <w:rFonts w:cs="Times New Roman"/>
          <w:lang w:val="en-GB"/>
        </w:rPr>
        <w:t>admitted</w:t>
      </w:r>
      <w:r w:rsidRPr="00646432">
        <w:rPr>
          <w:rFonts w:cs="Times New Roman"/>
          <w:lang w:val="en-GB"/>
        </w:rPr>
        <w:t xml:space="preserve"> that “the overall mood is to implement </w:t>
      </w:r>
      <w:r>
        <w:rPr>
          <w:rFonts w:cs="Times New Roman"/>
          <w:lang w:val="en-GB"/>
        </w:rPr>
        <w:t>[the Regulation]</w:t>
      </w:r>
      <w:r w:rsidRPr="00646432">
        <w:rPr>
          <w:rFonts w:cs="Times New Roman"/>
          <w:lang w:val="en-GB"/>
        </w:rPr>
        <w:t xml:space="preserve"> as softly as possible” (Interview 6). </w:t>
      </w:r>
    </w:p>
    <w:p w14:paraId="076C1647" w14:textId="77777777" w:rsidR="00200D01" w:rsidRPr="00646432" w:rsidRDefault="00200D01" w:rsidP="00E61696">
      <w:pPr>
        <w:rPr>
          <w:rFonts w:cs="Times New Roman"/>
          <w:lang w:val="en-GB"/>
        </w:rPr>
      </w:pPr>
    </w:p>
    <w:p w14:paraId="6BF7594C" w14:textId="77777777" w:rsidR="00F23F87" w:rsidRDefault="00E61696" w:rsidP="00E61696">
      <w:pPr>
        <w:rPr>
          <w:rFonts w:cs="Times New Roman"/>
          <w:lang w:val="en-GB"/>
        </w:rPr>
      </w:pPr>
      <w:r w:rsidRPr="00646432">
        <w:rPr>
          <w:rFonts w:cs="Times New Roman"/>
          <w:lang w:val="en-GB"/>
        </w:rPr>
        <w:t>Most respondents emphasised that efforts to increase the EU’s strategic autonomy are progressing too slowly and need to be accelerated</w:t>
      </w:r>
      <w:r>
        <w:rPr>
          <w:rFonts w:cs="Times New Roman"/>
          <w:lang w:val="en-GB"/>
        </w:rPr>
        <w:t>.</w:t>
      </w:r>
      <w:r w:rsidRPr="00646432">
        <w:rPr>
          <w:rFonts w:cs="Times New Roman"/>
          <w:lang w:val="en-GB"/>
        </w:rPr>
        <w:t xml:space="preserve"> Some respondents argued that the EU should act more confidently towards China than it currently does</w:t>
      </w:r>
      <w:r>
        <w:rPr>
          <w:rFonts w:cs="Times New Roman"/>
          <w:lang w:val="en-GB"/>
        </w:rPr>
        <w:t xml:space="preserve"> (Interview 1, 5, 9, 11)</w:t>
      </w:r>
      <w:r w:rsidRPr="00646432">
        <w:rPr>
          <w:rFonts w:cs="Times New Roman"/>
          <w:lang w:val="en-GB"/>
        </w:rPr>
        <w:t>, for example: “the EU is more powerful than it believes, there is an issue of low self-confidence” (Interview 9)</w:t>
      </w:r>
      <w:r>
        <w:rPr>
          <w:rFonts w:cs="Times New Roman"/>
          <w:lang w:val="en-GB"/>
        </w:rPr>
        <w:t xml:space="preserve">. </w:t>
      </w:r>
      <w:r w:rsidRPr="00646432">
        <w:rPr>
          <w:rFonts w:cs="Times New Roman"/>
          <w:lang w:val="en-GB"/>
        </w:rPr>
        <w:t xml:space="preserve">Some respondents were sceptical that China would retaliate significantly to bans related to the regulation, noting that China itself wants to </w:t>
      </w:r>
    </w:p>
    <w:p w14:paraId="5A9855D3" w14:textId="77777777" w:rsidR="00F23F87" w:rsidRDefault="00F23F87" w:rsidP="00E61696">
      <w:pPr>
        <w:rPr>
          <w:rFonts w:cs="Times New Roman"/>
          <w:lang w:val="en-GB"/>
        </w:rPr>
      </w:pPr>
    </w:p>
    <w:p w14:paraId="6D8983E6" w14:textId="2121707F" w:rsidR="00F23F87" w:rsidRDefault="00E61696" w:rsidP="00E61696">
      <w:pPr>
        <w:rPr>
          <w:rFonts w:cs="Times New Roman"/>
          <w:lang w:val="en-GB"/>
        </w:rPr>
      </w:pPr>
      <w:r w:rsidRPr="00646432">
        <w:rPr>
          <w:rFonts w:cs="Times New Roman"/>
          <w:lang w:val="en-GB"/>
        </w:rPr>
        <w:t>maintain good relations with the EU and avoid bearing the negative consequences of such decisions</w:t>
      </w:r>
      <w:r>
        <w:rPr>
          <w:rFonts w:cs="Times New Roman"/>
          <w:lang w:val="en-GB"/>
        </w:rPr>
        <w:t xml:space="preserve"> (Interview 7, 9, 10)</w:t>
      </w:r>
      <w:r w:rsidRPr="00646432">
        <w:rPr>
          <w:rFonts w:cs="Times New Roman"/>
          <w:lang w:val="en-GB"/>
        </w:rPr>
        <w:t xml:space="preserve">. </w:t>
      </w:r>
      <w:r>
        <w:rPr>
          <w:rFonts w:cs="Times New Roman"/>
          <w:lang w:val="en-GB"/>
        </w:rPr>
        <w:t xml:space="preserve">They suggested that to retaliate, China would select “less important areas” (Interview 10) and “insignificant industries” (Interview 7).  </w:t>
      </w:r>
    </w:p>
    <w:p w14:paraId="46712BE2" w14:textId="77777777" w:rsidR="00F23F87" w:rsidRDefault="00F23F87" w:rsidP="00E61696">
      <w:pPr>
        <w:rPr>
          <w:rFonts w:cs="Times New Roman"/>
          <w:lang w:val="en-GB"/>
        </w:rPr>
      </w:pPr>
    </w:p>
    <w:p w14:paraId="3CA8E947" w14:textId="4F95F1FC" w:rsidR="00E61696" w:rsidRDefault="00E61696" w:rsidP="00E61696">
      <w:pPr>
        <w:rPr>
          <w:rFonts w:cs="Times New Roman"/>
          <w:lang w:val="en-GB"/>
        </w:rPr>
      </w:pPr>
      <w:r w:rsidRPr="00646432">
        <w:rPr>
          <w:rFonts w:cs="Times New Roman"/>
          <w:lang w:val="en-GB"/>
        </w:rPr>
        <w:t>Another aspect identified by respondents as hindering consistent enforcement was the lack of alignment between the approaches of member states and EU institutions, particularly in relation to powerful actors such as China. One Member of the European Parliament noted that the EU is inefficient in its approach to China due to the reluctance of some member states, such as Hungary, and criticised the existence of the veto (Interview 1). Other respondents also highlighted that the EU’s institutional set-up limits its ability to act in a unified manner towards China (Interviews 2, 9, 10, 11). For example, they pointed out that “some member states might have low willingness to implement it in practice” (Interview 10)</w:t>
      </w:r>
      <w:r>
        <w:rPr>
          <w:rFonts w:cs="Times New Roman"/>
          <w:lang w:val="en-GB"/>
        </w:rPr>
        <w:t xml:space="preserve"> and </w:t>
      </w:r>
      <w:r w:rsidRPr="00646432">
        <w:rPr>
          <w:rFonts w:cs="Times New Roman"/>
          <w:lang w:val="en-GB"/>
        </w:rPr>
        <w:t>that “customs authorities might ignore the bans” (Interview 2)</w:t>
      </w:r>
      <w:r>
        <w:rPr>
          <w:rFonts w:cs="Times New Roman"/>
          <w:lang w:val="en-GB"/>
        </w:rPr>
        <w:t xml:space="preserve">. In this context, </w:t>
      </w:r>
      <w:r w:rsidRPr="00646432">
        <w:rPr>
          <w:rFonts w:cs="Times New Roman"/>
          <w:lang w:val="en-GB"/>
        </w:rPr>
        <w:t>concerns were also raised about the overly protective approach of some member states towards their own industries, such as the automotive sector in Germany (Interview 2). Another key factor mentioned was the necessity of a strong apparatus within the Commission tasked with enforcing the regulation (Interviews 2, 3)</w:t>
      </w:r>
      <w:r>
        <w:rPr>
          <w:rFonts w:cs="Times New Roman"/>
          <w:lang w:val="en-GB"/>
        </w:rPr>
        <w:t xml:space="preserve">, </w:t>
      </w:r>
      <w:r w:rsidRPr="00646432">
        <w:rPr>
          <w:rFonts w:cs="Times New Roman"/>
          <w:lang w:val="en-GB"/>
        </w:rPr>
        <w:t>and one respondent hig</w:t>
      </w:r>
      <w:r>
        <w:rPr>
          <w:rFonts w:cs="Times New Roman"/>
          <w:lang w:val="en-GB"/>
        </w:rPr>
        <w:t>hlighted that</w:t>
      </w:r>
      <w:r w:rsidRPr="00646432">
        <w:rPr>
          <w:rFonts w:cs="Times New Roman"/>
          <w:lang w:val="en-GB"/>
        </w:rPr>
        <w:t xml:space="preserve"> “the Commission cannot have high confidence [to enforce the </w:t>
      </w:r>
      <w:r>
        <w:rPr>
          <w:rFonts w:cs="Times New Roman"/>
          <w:lang w:val="en-GB"/>
        </w:rPr>
        <w:t>R</w:t>
      </w:r>
      <w:r w:rsidRPr="00646432">
        <w:rPr>
          <w:rFonts w:cs="Times New Roman"/>
          <w:lang w:val="en-GB"/>
        </w:rPr>
        <w:t>egulation] without coordinated support from member states” (Interview 9).</w:t>
      </w:r>
    </w:p>
    <w:p w14:paraId="02C0C5E1" w14:textId="77777777" w:rsidR="00200D01" w:rsidRPr="00646432" w:rsidRDefault="00200D01" w:rsidP="00E61696">
      <w:pPr>
        <w:rPr>
          <w:rFonts w:cs="Times New Roman"/>
          <w:lang w:val="en-GB"/>
        </w:rPr>
      </w:pPr>
    </w:p>
    <w:p w14:paraId="370A2854" w14:textId="77777777" w:rsidR="00E61696" w:rsidRDefault="00E61696" w:rsidP="00E61696">
      <w:pPr>
        <w:rPr>
          <w:rFonts w:cs="Times New Roman"/>
          <w:lang w:val="en-GB"/>
        </w:rPr>
      </w:pPr>
      <w:r w:rsidRPr="00646432">
        <w:rPr>
          <w:rFonts w:cs="Times New Roman"/>
          <w:lang w:val="en-GB"/>
        </w:rPr>
        <w:t xml:space="preserve">In addition to the aspects already mentioned—strategic dependence, the EU’s institutional set-up, lack of coordination among member states, insufficient capacity, and low confidence—respondents also pointed to the low willingness </w:t>
      </w:r>
      <w:r>
        <w:rPr>
          <w:rFonts w:cs="Times New Roman"/>
          <w:lang w:val="en-GB"/>
        </w:rPr>
        <w:t xml:space="preserve">among public </w:t>
      </w:r>
      <w:r w:rsidRPr="00646432">
        <w:rPr>
          <w:rFonts w:cs="Times New Roman"/>
          <w:lang w:val="en-GB"/>
        </w:rPr>
        <w:t xml:space="preserve">to reduce living standards (Interview 1) and the growing socio-economic problems among parts of European society that cannot afford alternatives to cheap Chinese products (Interview 2). </w:t>
      </w:r>
    </w:p>
    <w:p w14:paraId="175D2D8E" w14:textId="77777777" w:rsidR="00EA0D27" w:rsidRPr="00646432" w:rsidRDefault="00EA0D27" w:rsidP="00E61696">
      <w:pPr>
        <w:rPr>
          <w:rFonts w:cs="Times New Roman"/>
          <w:lang w:val="en-GB"/>
        </w:rPr>
      </w:pPr>
    </w:p>
    <w:p w14:paraId="1BB9E8B2" w14:textId="22458497" w:rsidR="00E61696" w:rsidRDefault="00E61696" w:rsidP="00E61696">
      <w:pPr>
        <w:rPr>
          <w:rFonts w:cs="Times New Roman"/>
          <w:lang w:val="en-GB"/>
        </w:rPr>
      </w:pPr>
      <w:r w:rsidRPr="00646432">
        <w:rPr>
          <w:rFonts w:cs="Times New Roman"/>
          <w:lang w:val="en-GB"/>
        </w:rPr>
        <w:t>A key aspect is whether companies and authorities will attempt to circumvent the regulation. Experience with UFLPA enforcement already shows that some products, including solar panels, have been rebranded and shipped to the US via countries such as Mexico or Canada to obscure the supply chain (Vanderford 2024). For both products and materials, it is very difficult to trace whether the declared origin is accurate, especially if it only concerns a different province in China. Respondents also raised these concerns, noting that “China will always find a way to get its products to Europe” (Interview 6) or that “products will be rebranded, and while one factory will close down, another under a different name with the same conditions will open elsewhere” (Interview 2). Respondents further expressed concerns about staged visits to factories, which, as past audits and the actions of Chinese firms and authorities have shown, are highly likely to occur.</w:t>
      </w:r>
    </w:p>
    <w:p w14:paraId="71749CBD" w14:textId="77777777" w:rsidR="00515A85" w:rsidRPr="00646432" w:rsidRDefault="00515A85" w:rsidP="00E61696">
      <w:pPr>
        <w:rPr>
          <w:rFonts w:cs="Times New Roman"/>
          <w:lang w:val="en-GB"/>
        </w:rPr>
      </w:pPr>
    </w:p>
    <w:p w14:paraId="4620C7C2" w14:textId="77777777" w:rsidR="00E61696" w:rsidRDefault="00E61696" w:rsidP="00E61696">
      <w:pPr>
        <w:rPr>
          <w:rFonts w:cs="Times New Roman"/>
          <w:lang w:val="en-GB"/>
        </w:rPr>
      </w:pPr>
      <w:r w:rsidRPr="00646432">
        <w:rPr>
          <w:rFonts w:cs="Times New Roman"/>
          <w:lang w:val="en-GB"/>
        </w:rPr>
        <w:t xml:space="preserve">Despite the scepticism among respondents regarding the extent to which the </w:t>
      </w:r>
      <w:r>
        <w:rPr>
          <w:rFonts w:cs="Times New Roman"/>
          <w:lang w:val="en-GB"/>
        </w:rPr>
        <w:t>Re</w:t>
      </w:r>
      <w:r w:rsidRPr="00646432">
        <w:rPr>
          <w:rFonts w:cs="Times New Roman"/>
          <w:lang w:val="en-GB"/>
        </w:rPr>
        <w:t>gulation will be enforced, all agreed that it makes sense and that its adoption is a positive step forward. Most respondents believe that the regulation sends an important signa</w:t>
      </w:r>
      <w:r>
        <w:rPr>
          <w:rFonts w:cs="Times New Roman"/>
          <w:lang w:val="en-GB"/>
        </w:rPr>
        <w:t xml:space="preserve">l, showing that the EU </w:t>
      </w:r>
      <w:r w:rsidRPr="00646432">
        <w:rPr>
          <w:rFonts w:cs="Times New Roman"/>
          <w:lang w:val="en-GB"/>
        </w:rPr>
        <w:t xml:space="preserve">“does not normalize the situation” (Interview 7), </w:t>
      </w:r>
      <w:r>
        <w:rPr>
          <w:rFonts w:cs="Times New Roman"/>
          <w:lang w:val="en-GB"/>
        </w:rPr>
        <w:t xml:space="preserve">and that the Regulation </w:t>
      </w:r>
      <w:r w:rsidRPr="00646432">
        <w:rPr>
          <w:rFonts w:cs="Times New Roman"/>
          <w:lang w:val="en-GB"/>
        </w:rPr>
        <w:t xml:space="preserve">“is in accordance with our values” (Interview 6), and “sets overall framework and standards” (Interview 10). However, opinions differed on whether it will bring change in relation to China. Some argued that “Europe can do nothing significant with China” (Interview 2) and that “China’s approach to human rights will not change” (Interview 11). </w:t>
      </w:r>
      <w:r>
        <w:rPr>
          <w:rFonts w:cs="Times New Roman"/>
          <w:lang w:val="en-GB"/>
        </w:rPr>
        <w:t>More respondents, however,</w:t>
      </w:r>
      <w:r w:rsidRPr="00646432">
        <w:rPr>
          <w:rFonts w:cs="Times New Roman"/>
          <w:lang w:val="en-GB"/>
        </w:rPr>
        <w:t xml:space="preserve"> </w:t>
      </w:r>
      <w:r>
        <w:rPr>
          <w:rFonts w:cs="Times New Roman"/>
          <w:lang w:val="en-GB"/>
        </w:rPr>
        <w:t>were more optimistic, believing</w:t>
      </w:r>
      <w:r w:rsidRPr="00646432">
        <w:rPr>
          <w:rFonts w:cs="Times New Roman"/>
          <w:lang w:val="en-GB"/>
        </w:rPr>
        <w:t xml:space="preserve"> that “China cares a lot about its reputation globally” (Interview 9) and that the </w:t>
      </w:r>
      <w:r>
        <w:rPr>
          <w:rFonts w:cs="Times New Roman"/>
          <w:lang w:val="en-GB"/>
        </w:rPr>
        <w:t>R</w:t>
      </w:r>
      <w:r w:rsidRPr="00646432">
        <w:rPr>
          <w:rFonts w:cs="Times New Roman"/>
          <w:lang w:val="en-GB"/>
        </w:rPr>
        <w:t>egulation could lead to “partial improvements” (Interview 9)</w:t>
      </w:r>
      <w:r>
        <w:rPr>
          <w:rFonts w:cs="Times New Roman"/>
          <w:lang w:val="en-GB"/>
        </w:rPr>
        <w:t xml:space="preserve">, it would </w:t>
      </w:r>
      <w:r w:rsidRPr="00646432">
        <w:rPr>
          <w:rFonts w:cs="Times New Roman"/>
          <w:lang w:val="en-GB"/>
        </w:rPr>
        <w:t>“add to international pressure which can contribute to improving conditions in China” (Interview 10), “push for better conditions in China” (Interview 8), and “prevent countries such as China from going too far as they will be aware they are under scrutiny” (Interview 7).</w:t>
      </w:r>
    </w:p>
    <w:p w14:paraId="2AEC17E6" w14:textId="77777777" w:rsidR="00515A85" w:rsidRDefault="00515A85" w:rsidP="00E61696">
      <w:pPr>
        <w:rPr>
          <w:rFonts w:cs="Times New Roman"/>
          <w:lang w:val="en-GB"/>
        </w:rPr>
      </w:pPr>
    </w:p>
    <w:p w14:paraId="10D9F13F" w14:textId="77777777" w:rsidR="00F23F87" w:rsidRDefault="00F23F87" w:rsidP="00E61696">
      <w:pPr>
        <w:rPr>
          <w:rFonts w:cs="Times New Roman"/>
          <w:lang w:val="en-GB"/>
        </w:rPr>
      </w:pPr>
    </w:p>
    <w:p w14:paraId="2FF00746" w14:textId="77777777" w:rsidR="00F23F87" w:rsidRDefault="00F23F87" w:rsidP="00E61696">
      <w:pPr>
        <w:rPr>
          <w:rFonts w:cs="Times New Roman"/>
          <w:lang w:val="en-GB"/>
        </w:rPr>
      </w:pPr>
    </w:p>
    <w:p w14:paraId="77E347DA" w14:textId="77777777" w:rsidR="00F23F87" w:rsidRDefault="00F23F87" w:rsidP="00E61696">
      <w:pPr>
        <w:rPr>
          <w:rFonts w:cs="Times New Roman"/>
          <w:lang w:val="en-GB"/>
        </w:rPr>
      </w:pPr>
    </w:p>
    <w:p w14:paraId="285E2AE0" w14:textId="09DC7230" w:rsidR="00515A85" w:rsidRDefault="00E61696" w:rsidP="00E61696">
      <w:pPr>
        <w:rPr>
          <w:rFonts w:cs="Times New Roman"/>
          <w:lang w:val="en-GB"/>
        </w:rPr>
      </w:pPr>
      <w:r w:rsidRPr="007C1E2B">
        <w:rPr>
          <w:rFonts w:cs="Times New Roman"/>
          <w:lang w:val="en-GB"/>
        </w:rPr>
        <w:t xml:space="preserve">To summarize, respondents believe that enforcement of the Regulation towards China will be difficult, with decisions shaped by political considerations, particularly in strategic sectors such as solar </w:t>
      </w:r>
      <w:proofErr w:type="gramStart"/>
      <w:r w:rsidRPr="007C1E2B">
        <w:rPr>
          <w:rFonts w:cs="Times New Roman"/>
          <w:lang w:val="en-GB"/>
        </w:rPr>
        <w:t xml:space="preserve">panels </w:t>
      </w:r>
      <w:r w:rsidR="000766B0">
        <w:rPr>
          <w:rFonts w:cs="Times New Roman"/>
          <w:lang w:val="en-GB"/>
        </w:rPr>
        <w:t xml:space="preserve"> </w:t>
      </w:r>
      <w:r w:rsidRPr="007C1E2B">
        <w:rPr>
          <w:rFonts w:cs="Times New Roman"/>
          <w:lang w:val="en-GB"/>
        </w:rPr>
        <w:t>and</w:t>
      </w:r>
      <w:proofErr w:type="gramEnd"/>
      <w:r w:rsidRPr="007C1E2B">
        <w:rPr>
          <w:rFonts w:cs="Times New Roman"/>
          <w:lang w:val="en-GB"/>
        </w:rPr>
        <w:t xml:space="preserve"> critical raw materials.</w:t>
      </w:r>
      <w:r>
        <w:rPr>
          <w:rFonts w:cs="Times New Roman"/>
          <w:lang w:val="en-GB"/>
        </w:rPr>
        <w:t xml:space="preserve"> </w:t>
      </w:r>
      <w:r w:rsidRPr="007C1E2B">
        <w:rPr>
          <w:rFonts w:cs="Times New Roman"/>
          <w:lang w:val="en-GB"/>
        </w:rPr>
        <w:t xml:space="preserve">The main limitations </w:t>
      </w:r>
      <w:r>
        <w:rPr>
          <w:rFonts w:cs="Times New Roman"/>
          <w:lang w:val="en-GB"/>
        </w:rPr>
        <w:t>mentioned were</w:t>
      </w:r>
      <w:r w:rsidRPr="007C1E2B">
        <w:rPr>
          <w:rFonts w:cs="Times New Roman"/>
          <w:lang w:val="en-GB"/>
        </w:rPr>
        <w:t xml:space="preserve"> the EU’s insufficient strategic autonomy, low confidence in dealing with China, lack of coordination and support from member states, and public </w:t>
      </w:r>
      <w:r>
        <w:rPr>
          <w:rFonts w:cs="Times New Roman"/>
          <w:lang w:val="en-GB"/>
        </w:rPr>
        <w:t xml:space="preserve">and business </w:t>
      </w:r>
      <w:r w:rsidRPr="007C1E2B">
        <w:rPr>
          <w:rFonts w:cs="Times New Roman"/>
          <w:lang w:val="en-GB"/>
        </w:rPr>
        <w:t xml:space="preserve">demand for Chinese products. Concerns were also raised about products being rebranded and rerouted through third countries to bypass restrictions. At the same time, respondents did not expect strong retaliation from China, which </w:t>
      </w:r>
      <w:r>
        <w:rPr>
          <w:rFonts w:cs="Times New Roman"/>
          <w:lang w:val="en-GB"/>
        </w:rPr>
        <w:t>they</w:t>
      </w:r>
      <w:r w:rsidRPr="007C1E2B">
        <w:rPr>
          <w:rFonts w:cs="Times New Roman"/>
          <w:lang w:val="en-GB"/>
        </w:rPr>
        <w:t xml:space="preserve"> believe </w:t>
      </w:r>
      <w:r>
        <w:rPr>
          <w:rFonts w:cs="Times New Roman"/>
          <w:lang w:val="en-GB"/>
        </w:rPr>
        <w:t>would</w:t>
      </w:r>
      <w:r w:rsidRPr="007C1E2B">
        <w:rPr>
          <w:rFonts w:cs="Times New Roman"/>
          <w:lang w:val="en-GB"/>
        </w:rPr>
        <w:t xml:space="preserve"> target only less significant sectors. </w:t>
      </w:r>
    </w:p>
    <w:p w14:paraId="6BD34801" w14:textId="77777777" w:rsidR="00515A85" w:rsidRDefault="00515A85" w:rsidP="00E61696">
      <w:pPr>
        <w:rPr>
          <w:rFonts w:cs="Times New Roman"/>
          <w:lang w:val="en-GB"/>
        </w:rPr>
      </w:pPr>
    </w:p>
    <w:p w14:paraId="729C482C" w14:textId="3F9FAD97" w:rsidR="00E61696" w:rsidRPr="00646432" w:rsidRDefault="00E61696" w:rsidP="00E61696">
      <w:pPr>
        <w:rPr>
          <w:rFonts w:cs="Times New Roman"/>
          <w:lang w:val="en-GB"/>
        </w:rPr>
      </w:pPr>
      <w:r w:rsidRPr="007C1E2B">
        <w:rPr>
          <w:rFonts w:cs="Times New Roman"/>
          <w:lang w:val="en-GB"/>
        </w:rPr>
        <w:t xml:space="preserve">Overall, </w:t>
      </w:r>
      <w:r>
        <w:rPr>
          <w:rFonts w:cs="Times New Roman"/>
          <w:lang w:val="en-GB"/>
        </w:rPr>
        <w:t>the interviews indicated there</w:t>
      </w:r>
      <w:r w:rsidRPr="007C1E2B">
        <w:rPr>
          <w:rFonts w:cs="Times New Roman"/>
          <w:lang w:val="en-GB"/>
        </w:rPr>
        <w:t xml:space="preserve"> is little willingness to implement the Regulation </w:t>
      </w:r>
      <w:r>
        <w:rPr>
          <w:rFonts w:cs="Times New Roman"/>
          <w:lang w:val="en-GB"/>
        </w:rPr>
        <w:t>more systematically</w:t>
      </w:r>
      <w:r w:rsidRPr="007C1E2B">
        <w:rPr>
          <w:rFonts w:cs="Times New Roman"/>
          <w:lang w:val="en-GB"/>
        </w:rPr>
        <w:t xml:space="preserve"> in relation to China</w:t>
      </w:r>
      <w:r>
        <w:rPr>
          <w:rFonts w:cs="Times New Roman"/>
          <w:lang w:val="en-GB"/>
        </w:rPr>
        <w:t xml:space="preserve">. </w:t>
      </w:r>
      <w:r w:rsidRPr="00412452">
        <w:rPr>
          <w:rFonts w:cs="Times New Roman"/>
          <w:lang w:val="en-GB"/>
        </w:rPr>
        <w:t>However, the respondents still considered the Regulation a meaningful, value-based instrument, with some expressing optimism that it could lead to potential partial improvements, even in China.</w:t>
      </w:r>
    </w:p>
    <w:p w14:paraId="6E0558E3" w14:textId="77777777" w:rsidR="000A6F0D" w:rsidRDefault="000A6F0D" w:rsidP="00661542">
      <w:pPr>
        <w:pStyle w:val="Nadpis1"/>
      </w:pPr>
    </w:p>
    <w:p w14:paraId="36AA5AC4" w14:textId="1D7D1FFD" w:rsidR="00027088" w:rsidRDefault="00027088" w:rsidP="007A1EE2">
      <w:pPr>
        <w:pStyle w:val="Nadpis1"/>
      </w:pPr>
      <w:bookmarkStart w:id="6" w:name="_Toc210988699"/>
      <w:r w:rsidRPr="00656173">
        <w:t>Recommendations</w:t>
      </w:r>
      <w:bookmarkEnd w:id="6"/>
      <w:r w:rsidRPr="00646432">
        <w:t xml:space="preserve"> </w:t>
      </w:r>
    </w:p>
    <w:p w14:paraId="0131025D" w14:textId="77777777" w:rsidR="007A1EE2" w:rsidRPr="00646432" w:rsidRDefault="007A1EE2" w:rsidP="007A1EE2">
      <w:pPr>
        <w:pStyle w:val="Nadpis1"/>
      </w:pPr>
    </w:p>
    <w:p w14:paraId="4068EAE5" w14:textId="77777777" w:rsidR="00027088" w:rsidRDefault="00027088" w:rsidP="00027088">
      <w:pPr>
        <w:pStyle w:val="Odsekzoznamu"/>
        <w:widowControl/>
        <w:numPr>
          <w:ilvl w:val="0"/>
          <w:numId w:val="10"/>
        </w:numPr>
        <w:autoSpaceDE/>
        <w:autoSpaceDN/>
        <w:spacing w:after="160" w:line="278" w:lineRule="auto"/>
        <w:contextualSpacing/>
        <w:rPr>
          <w:rFonts w:cs="Times New Roman"/>
          <w:lang w:val="en-GB"/>
        </w:rPr>
      </w:pPr>
      <w:r w:rsidRPr="00646432">
        <w:rPr>
          <w:rFonts w:cs="Times New Roman"/>
          <w:lang w:val="en-GB"/>
        </w:rPr>
        <w:t>As a first step, Xinjiang should be designated as a risk area for forced labour in the database, based on desk research in line with Article 8</w:t>
      </w:r>
      <w:r>
        <w:rPr>
          <w:rFonts w:cs="Times New Roman"/>
          <w:lang w:val="en-GB"/>
        </w:rPr>
        <w:t xml:space="preserve"> of the FLR</w:t>
      </w:r>
      <w:r w:rsidRPr="00646432">
        <w:rPr>
          <w:rFonts w:cs="Times New Roman"/>
          <w:lang w:val="en-GB"/>
        </w:rPr>
        <w:t xml:space="preserve">. Although not binding, this database should motivate companies to voluntarily seek alternative suppliers outside Xinjiang. The existence of specific evidence in certain sectors depends almost entirely on the accessible evidence available on Chinese websites and on which data investigative researchers have focused, making it to some extent a matter of chance. While some sectors may be identified as more demonstrably high-risk, the repressive system affects the entire region and thus potentially all sectors, meaning the risk of forced labour should be attributed to the </w:t>
      </w:r>
      <w:proofErr w:type="gramStart"/>
      <w:r w:rsidRPr="00646432">
        <w:rPr>
          <w:rFonts w:cs="Times New Roman"/>
          <w:lang w:val="en-GB"/>
        </w:rPr>
        <w:t>region as a whole</w:t>
      </w:r>
      <w:proofErr w:type="gramEnd"/>
      <w:r w:rsidRPr="00646432">
        <w:rPr>
          <w:rFonts w:cs="Times New Roman"/>
          <w:lang w:val="en-GB"/>
        </w:rPr>
        <w:t xml:space="preserve">. The database is to be published on 14 June 2026 and if Xinjiang is already designated at that point, companies will have a year and a half until December 2027 to seek alternative suppliers. </w:t>
      </w:r>
    </w:p>
    <w:p w14:paraId="5B805A8A" w14:textId="77777777" w:rsidR="00F23F87" w:rsidRPr="00646432" w:rsidRDefault="00F23F87" w:rsidP="00F23F87">
      <w:pPr>
        <w:pStyle w:val="Odsekzoznamu"/>
        <w:widowControl/>
        <w:autoSpaceDE/>
        <w:autoSpaceDN/>
        <w:spacing w:after="160" w:line="278" w:lineRule="auto"/>
        <w:ind w:left="720" w:firstLine="0"/>
        <w:contextualSpacing/>
        <w:rPr>
          <w:rFonts w:cs="Times New Roman"/>
          <w:lang w:val="en-GB"/>
        </w:rPr>
      </w:pPr>
    </w:p>
    <w:p w14:paraId="140816EE" w14:textId="7B7FBEBA" w:rsidR="00027088" w:rsidRPr="00311F2E" w:rsidRDefault="00027088" w:rsidP="00311F2E">
      <w:pPr>
        <w:pStyle w:val="Odsekzoznamu"/>
        <w:widowControl/>
        <w:numPr>
          <w:ilvl w:val="0"/>
          <w:numId w:val="10"/>
        </w:numPr>
        <w:autoSpaceDE/>
        <w:autoSpaceDN/>
        <w:spacing w:after="160" w:line="278" w:lineRule="auto"/>
        <w:contextualSpacing/>
        <w:rPr>
          <w:rFonts w:cs="Times New Roman"/>
          <w:lang w:val="en-GB"/>
        </w:rPr>
      </w:pPr>
      <w:r w:rsidRPr="00646432">
        <w:rPr>
          <w:rFonts w:cs="Times New Roman"/>
          <w:lang w:val="en-GB"/>
        </w:rPr>
        <w:t xml:space="preserve">The guidelines to be presented on 14 June 2026 should take into account the updated 2024 ILO handbook </w:t>
      </w:r>
      <w:r w:rsidRPr="00646432">
        <w:rPr>
          <w:rFonts w:cs="Times New Roman"/>
          <w:i/>
          <w:iCs/>
          <w:lang w:val="en-GB"/>
        </w:rPr>
        <w:t>Hard to See, Harder to Count</w:t>
      </w:r>
      <w:r w:rsidRPr="00646432">
        <w:rPr>
          <w:rFonts w:cs="Times New Roman"/>
          <w:lang w:val="en-GB"/>
        </w:rPr>
        <w:t xml:space="preserve"> and be based on the understanding that non-internment state-imposed forced labour is better identified as a systemic risk rather than through specific instances, that independent on-site investigations are impossible in such cases, and that decisions on forced labour in such cases should rely significantly on desk research of policy </w:t>
      </w:r>
      <w:r w:rsidRPr="00311F2E">
        <w:rPr>
          <w:rFonts w:cs="Times New Roman"/>
          <w:lang w:val="en-GB"/>
        </w:rPr>
        <w:t>analysis and investigative reports (from international organizations, civil society organizations, academics and journalists), as well as expert interviews. This seems different from the approach envisioned in the interviews, which assumed bans only in cases where evidence of specific instances existed. As discussed in this paper, this method is insufficient in this context, as it would leave a large share of forced labour instances in Xinjiang (and potentially also in other regions of the world) unaddressed. Decisions on bans should not depend on whether an investigative researcher happens to find an article in the Chinese media about a particular company, but rather on an understanding of the repressive context of the entire region.</w:t>
      </w:r>
    </w:p>
    <w:p w14:paraId="26E7A4C1" w14:textId="77777777" w:rsidR="00F23F87" w:rsidRDefault="00F23F87" w:rsidP="00F23F87">
      <w:pPr>
        <w:widowControl/>
        <w:autoSpaceDE/>
        <w:autoSpaceDN/>
        <w:spacing w:after="160" w:line="278" w:lineRule="auto"/>
        <w:contextualSpacing/>
        <w:rPr>
          <w:rFonts w:cs="Times New Roman"/>
          <w:lang w:val="en-GB"/>
        </w:rPr>
      </w:pPr>
    </w:p>
    <w:p w14:paraId="707024F7" w14:textId="77777777" w:rsidR="000766B0" w:rsidRDefault="000766B0" w:rsidP="00F23F87">
      <w:pPr>
        <w:widowControl/>
        <w:autoSpaceDE/>
        <w:autoSpaceDN/>
        <w:spacing w:after="160" w:line="278" w:lineRule="auto"/>
        <w:contextualSpacing/>
        <w:rPr>
          <w:rFonts w:cs="Times New Roman"/>
          <w:lang w:val="en-GB"/>
        </w:rPr>
      </w:pPr>
    </w:p>
    <w:p w14:paraId="09465A4A" w14:textId="77777777" w:rsidR="00F23F87" w:rsidRPr="00F23F87" w:rsidRDefault="00F23F87" w:rsidP="00F23F87">
      <w:pPr>
        <w:widowControl/>
        <w:autoSpaceDE/>
        <w:autoSpaceDN/>
        <w:spacing w:after="160" w:line="278" w:lineRule="auto"/>
        <w:contextualSpacing/>
        <w:rPr>
          <w:rFonts w:cs="Times New Roman"/>
          <w:lang w:val="en-GB"/>
        </w:rPr>
      </w:pPr>
    </w:p>
    <w:p w14:paraId="32E1BD44" w14:textId="77777777" w:rsidR="00F23F87" w:rsidRDefault="00F23F87" w:rsidP="00F23F87">
      <w:pPr>
        <w:pStyle w:val="Odsekzoznamu"/>
        <w:widowControl/>
        <w:autoSpaceDE/>
        <w:autoSpaceDN/>
        <w:spacing w:after="160" w:line="278" w:lineRule="auto"/>
        <w:ind w:left="720" w:firstLine="0"/>
        <w:contextualSpacing/>
        <w:rPr>
          <w:rFonts w:cs="Times New Roman"/>
          <w:lang w:val="en-GB"/>
        </w:rPr>
      </w:pPr>
    </w:p>
    <w:p w14:paraId="5D57316B" w14:textId="14D78F5D" w:rsidR="00F23F87" w:rsidRPr="00F23F87" w:rsidRDefault="00027088" w:rsidP="00F23F87">
      <w:pPr>
        <w:pStyle w:val="Odsekzoznamu"/>
        <w:widowControl/>
        <w:numPr>
          <w:ilvl w:val="0"/>
          <w:numId w:val="10"/>
        </w:numPr>
        <w:autoSpaceDE/>
        <w:autoSpaceDN/>
        <w:spacing w:after="160" w:line="278" w:lineRule="auto"/>
        <w:contextualSpacing/>
        <w:rPr>
          <w:rFonts w:cs="Times New Roman"/>
          <w:lang w:val="en-GB"/>
        </w:rPr>
      </w:pPr>
      <w:r w:rsidRPr="00646432">
        <w:rPr>
          <w:rFonts w:cs="Times New Roman"/>
          <w:lang w:val="en-GB"/>
        </w:rPr>
        <w:t xml:space="preserve">Considering the above-mentioned and the impossibility of conducting independent investigations of specific instances of forced labour in Xinjiang, and Article 20 of the Regulation, which </w:t>
      </w:r>
      <w:bookmarkStart w:id="7" w:name="_Hlk209433162"/>
      <w:r w:rsidRPr="00646432">
        <w:rPr>
          <w:rFonts w:cs="Times New Roman"/>
          <w:lang w:val="en-GB"/>
        </w:rPr>
        <w:t>allows a ban to be issued on the basis of other evidence if an economic operator or public authority does not sufficiently cooperate with an investigation, t</w:t>
      </w:r>
      <w:bookmarkEnd w:id="7"/>
      <w:r w:rsidRPr="00646432">
        <w:rPr>
          <w:rFonts w:cs="Times New Roman"/>
          <w:lang w:val="en-GB"/>
        </w:rPr>
        <w:t xml:space="preserve">he European Commission should, in line with the updated guidelines </w:t>
      </w:r>
      <w:r w:rsidRPr="00646432">
        <w:rPr>
          <w:rFonts w:cs="Times New Roman"/>
          <w:i/>
          <w:iCs/>
          <w:lang w:val="en-GB"/>
        </w:rPr>
        <w:t>Hard to See, Harder to Count</w:t>
      </w:r>
      <w:r w:rsidRPr="00646432">
        <w:rPr>
          <w:rFonts w:cs="Times New Roman"/>
          <w:lang w:val="en-GB"/>
        </w:rPr>
        <w:t>, assess the presence of systemic risk of forced labour in Xinjiang based on existing investigative research, and consider banning all goods, by-products, and materials originating from Xinjiang. Such a general ban would be consistent with the ILO guidelines, which the Regulation preamble cites as a reference for investigation.</w:t>
      </w:r>
    </w:p>
    <w:p w14:paraId="753971C5" w14:textId="77777777" w:rsidR="00F23F87" w:rsidRDefault="00F23F87" w:rsidP="00F23F87">
      <w:pPr>
        <w:pStyle w:val="Odsekzoznamu"/>
        <w:widowControl/>
        <w:autoSpaceDE/>
        <w:autoSpaceDN/>
        <w:spacing w:after="160" w:line="278" w:lineRule="auto"/>
        <w:ind w:left="720" w:firstLine="0"/>
        <w:contextualSpacing/>
        <w:rPr>
          <w:rFonts w:cs="Times New Roman"/>
          <w:lang w:val="en-GB"/>
        </w:rPr>
      </w:pPr>
    </w:p>
    <w:p w14:paraId="4752CA69" w14:textId="750FABA9" w:rsidR="00027088" w:rsidRPr="00646432" w:rsidRDefault="00027088" w:rsidP="00027088">
      <w:pPr>
        <w:pStyle w:val="Odsekzoznamu"/>
        <w:widowControl/>
        <w:numPr>
          <w:ilvl w:val="0"/>
          <w:numId w:val="10"/>
        </w:numPr>
        <w:autoSpaceDE/>
        <w:autoSpaceDN/>
        <w:spacing w:after="160" w:line="278" w:lineRule="auto"/>
        <w:contextualSpacing/>
        <w:rPr>
          <w:rFonts w:cs="Times New Roman"/>
          <w:lang w:val="en-GB"/>
        </w:rPr>
      </w:pPr>
      <w:r w:rsidRPr="00646432">
        <w:rPr>
          <w:rFonts w:cs="Times New Roman"/>
          <w:lang w:val="en-GB"/>
        </w:rPr>
        <w:t>In the case of a general ban on products from Xinjiang, investigations should also be carried out regarding companies in other regions in China that have participated in programmes transferring Uyghur workers and may thus be involved in repressive practices.</w:t>
      </w:r>
    </w:p>
    <w:p w14:paraId="6C4CC14C" w14:textId="77777777" w:rsidR="00153237" w:rsidRDefault="00153237" w:rsidP="00153237">
      <w:pPr>
        <w:pStyle w:val="Odsekzoznamu"/>
        <w:widowControl/>
        <w:autoSpaceDE/>
        <w:autoSpaceDN/>
        <w:spacing w:after="160" w:line="278" w:lineRule="auto"/>
        <w:ind w:left="720" w:firstLine="0"/>
        <w:contextualSpacing/>
        <w:rPr>
          <w:rFonts w:cs="Times New Roman"/>
          <w:lang w:val="en-GB"/>
        </w:rPr>
      </w:pPr>
    </w:p>
    <w:p w14:paraId="4E2BF0F1" w14:textId="27CFDC8C" w:rsidR="00027088" w:rsidRPr="00646432" w:rsidRDefault="00027088" w:rsidP="00027088">
      <w:pPr>
        <w:pStyle w:val="Odsekzoznamu"/>
        <w:widowControl/>
        <w:numPr>
          <w:ilvl w:val="0"/>
          <w:numId w:val="10"/>
        </w:numPr>
        <w:autoSpaceDE/>
        <w:autoSpaceDN/>
        <w:spacing w:after="160" w:line="278" w:lineRule="auto"/>
        <w:contextualSpacing/>
        <w:rPr>
          <w:rFonts w:cs="Times New Roman"/>
          <w:lang w:val="en-GB"/>
        </w:rPr>
      </w:pPr>
      <w:r w:rsidRPr="00646432">
        <w:rPr>
          <w:rFonts w:cs="Times New Roman"/>
          <w:lang w:val="en-GB"/>
        </w:rPr>
        <w:t xml:space="preserve">The Commission should consult in advance with member states and relevant stakeholders on the potential risks of imposing a ban and, in that framework, prepare alternative solutions, including supplier diversification. It is essential that the Union Network Against Forced Labour Products, established under Article 6, becomes highly active as soon as possible to coordinate further steps. Otherwise, by 2029, the Commission could face a conflicting situation in which, on the one hand, existing evidence and the legal framework would require imposing a ban on solar panels (or polysilicon) from Xinjiang, while on the other hand, it would be under enormous pressure not to do so, as such a ban could threaten the EU’s economic and strategic security. </w:t>
      </w:r>
    </w:p>
    <w:p w14:paraId="251B9DA3" w14:textId="77777777" w:rsidR="00F23F87" w:rsidRDefault="00F23F87" w:rsidP="00F23F87">
      <w:pPr>
        <w:pStyle w:val="Odsekzoznamu"/>
        <w:widowControl/>
        <w:autoSpaceDE/>
        <w:autoSpaceDN/>
        <w:spacing w:after="160" w:line="278" w:lineRule="auto"/>
        <w:ind w:left="720" w:firstLine="0"/>
        <w:contextualSpacing/>
        <w:rPr>
          <w:rFonts w:cs="Times New Roman"/>
          <w:lang w:val="en-GB"/>
        </w:rPr>
      </w:pPr>
    </w:p>
    <w:p w14:paraId="06C71C61" w14:textId="7C2B52FD" w:rsidR="00027088" w:rsidRPr="00153237" w:rsidRDefault="00027088" w:rsidP="00153237">
      <w:pPr>
        <w:pStyle w:val="Odsekzoznamu"/>
        <w:widowControl/>
        <w:numPr>
          <w:ilvl w:val="0"/>
          <w:numId w:val="10"/>
        </w:numPr>
        <w:autoSpaceDE/>
        <w:autoSpaceDN/>
        <w:spacing w:after="160" w:line="278" w:lineRule="auto"/>
        <w:contextualSpacing/>
        <w:rPr>
          <w:rFonts w:cs="Times New Roman"/>
          <w:lang w:val="en-GB"/>
        </w:rPr>
      </w:pPr>
      <w:r w:rsidRPr="00646432">
        <w:rPr>
          <w:rFonts w:cs="Times New Roman"/>
          <w:lang w:val="en-GB"/>
        </w:rPr>
        <w:t xml:space="preserve">In the framework of mutual consultations, the Commission should encourage European companies to conduct analysis of their supply chains, so that by the time the regulation enters </w:t>
      </w:r>
      <w:r w:rsidRPr="00153237">
        <w:rPr>
          <w:rFonts w:cs="Times New Roman"/>
          <w:lang w:val="en-GB"/>
        </w:rPr>
        <w:t>into force, they have a clear overview. This is also expected from large companies under the Corporate Sustainability Due Diligence Directive effective from July 2026. Companies’ inability to demonstrate the origin of their sourced materials and products, and the impossibility of conducting independent investigations of their suppliers, including on-site inspections, should become an unacceptable practice and be considered as grounds for suspicion of forced labour. A high degree of transparency—not necessarily for the public, but primarily within internal evaluation processes and in communication with authorities—should ensure that cases of rebranding and attempts to circumvent the Regulation are minimised.</w:t>
      </w:r>
    </w:p>
    <w:p w14:paraId="3FDDAFB4" w14:textId="77777777" w:rsidR="00027088" w:rsidRDefault="00027088" w:rsidP="00661542">
      <w:pPr>
        <w:pStyle w:val="Nadpis1"/>
      </w:pPr>
    </w:p>
    <w:p w14:paraId="00C8028E" w14:textId="77777777" w:rsidR="004B1449" w:rsidRDefault="004B1449" w:rsidP="00661542">
      <w:pPr>
        <w:pStyle w:val="Nadpis1"/>
      </w:pPr>
    </w:p>
    <w:p w14:paraId="43D71363" w14:textId="77777777" w:rsidR="004B1449" w:rsidRDefault="004B1449" w:rsidP="00661542">
      <w:pPr>
        <w:pStyle w:val="Nadpis1"/>
      </w:pPr>
    </w:p>
    <w:p w14:paraId="47FB56EC" w14:textId="77777777" w:rsidR="004B1449" w:rsidRDefault="004B1449" w:rsidP="00661542">
      <w:pPr>
        <w:pStyle w:val="Nadpis1"/>
      </w:pPr>
    </w:p>
    <w:p w14:paraId="19E5A053" w14:textId="77777777" w:rsidR="00153237" w:rsidRDefault="00153237" w:rsidP="00661542">
      <w:pPr>
        <w:pStyle w:val="Nadpis1"/>
      </w:pPr>
    </w:p>
    <w:p w14:paraId="6D9AE9DC" w14:textId="77777777" w:rsidR="00153237" w:rsidRDefault="00153237" w:rsidP="00661542">
      <w:pPr>
        <w:pStyle w:val="Nadpis1"/>
      </w:pPr>
    </w:p>
    <w:p w14:paraId="112F26E4" w14:textId="77777777" w:rsidR="00153237" w:rsidRDefault="00153237" w:rsidP="00661542">
      <w:pPr>
        <w:pStyle w:val="Nadpis1"/>
      </w:pPr>
    </w:p>
    <w:p w14:paraId="62884458" w14:textId="77777777" w:rsidR="004B1449" w:rsidRDefault="004B1449" w:rsidP="00394670">
      <w:pPr>
        <w:pStyle w:val="Nadpis1"/>
      </w:pPr>
    </w:p>
    <w:p w14:paraId="4151C6B3" w14:textId="77777777" w:rsidR="004B1449" w:rsidRDefault="004B1449" w:rsidP="004B1449">
      <w:pPr>
        <w:pStyle w:val="Nadpis1"/>
      </w:pPr>
      <w:bookmarkStart w:id="8" w:name="_Toc210988700"/>
      <w:r w:rsidRPr="004B1449">
        <w:t>Bibliography</w:t>
      </w:r>
      <w:bookmarkEnd w:id="8"/>
    </w:p>
    <w:p w14:paraId="73540996" w14:textId="77777777" w:rsidR="004B1449" w:rsidRPr="004B1449" w:rsidRDefault="004B1449" w:rsidP="004B1449">
      <w:pPr>
        <w:rPr>
          <w:rFonts w:cs="Times New Roman"/>
          <w:b/>
          <w:bCs/>
          <w:lang w:val="fr-BE"/>
        </w:rPr>
      </w:pPr>
    </w:p>
    <w:p w14:paraId="7940AA60" w14:textId="77777777" w:rsidR="004B1449" w:rsidRPr="009E6FF9" w:rsidRDefault="004B1449" w:rsidP="004B1449">
      <w:pPr>
        <w:pStyle w:val="Bibliografia"/>
        <w:rPr>
          <w:rFonts w:ascii="Candara" w:hAnsi="Candara" w:cs="Times New Roman"/>
          <w:lang w:val="en-GB"/>
        </w:rPr>
      </w:pPr>
      <w:proofErr w:type="spellStart"/>
      <w:r w:rsidRPr="009E6FF9">
        <w:rPr>
          <w:rFonts w:ascii="Candara" w:hAnsi="Candara" w:cs="Times New Roman"/>
          <w:lang w:val="fr-BE"/>
        </w:rPr>
        <w:t>Bian</w:t>
      </w:r>
      <w:proofErr w:type="spellEnd"/>
      <w:r w:rsidRPr="009E6FF9">
        <w:rPr>
          <w:rFonts w:ascii="Candara" w:hAnsi="Candara" w:cs="Times New Roman"/>
          <w:lang w:val="fr-BE"/>
        </w:rPr>
        <w:t xml:space="preserve">, Z. </w:t>
      </w:r>
      <w:r w:rsidRPr="009E6FF9">
        <w:rPr>
          <w:rFonts w:ascii="Candara" w:hAnsi="Candara" w:cs="Times New Roman"/>
          <w:i/>
          <w:iCs/>
          <w:lang w:val="fr-BE"/>
        </w:rPr>
        <w:t>et al.</w:t>
      </w:r>
      <w:r w:rsidRPr="009E6FF9">
        <w:rPr>
          <w:rFonts w:ascii="Candara" w:hAnsi="Candara" w:cs="Times New Roman"/>
          <w:lang w:val="fr-BE"/>
        </w:rPr>
        <w:t xml:space="preserve"> </w:t>
      </w:r>
      <w:r w:rsidRPr="009E6FF9">
        <w:rPr>
          <w:rFonts w:ascii="Candara" w:hAnsi="Candara" w:cs="Times New Roman"/>
          <w:lang w:val="en-GB"/>
        </w:rPr>
        <w:t xml:space="preserve">(2024) ‘Research on the potential and strategy for coal resources exploitation in Xinjiang’, </w:t>
      </w:r>
      <w:proofErr w:type="spellStart"/>
      <w:r w:rsidRPr="009E6FF9">
        <w:rPr>
          <w:rFonts w:ascii="Candara" w:hAnsi="Candara" w:cs="Times New Roman"/>
          <w:i/>
          <w:iCs/>
          <w:lang w:val="en-GB"/>
        </w:rPr>
        <w:t>Meitan</w:t>
      </w:r>
      <w:proofErr w:type="spellEnd"/>
      <w:r w:rsidRPr="009E6FF9">
        <w:rPr>
          <w:rFonts w:ascii="Candara" w:hAnsi="Candara" w:cs="Times New Roman"/>
          <w:i/>
          <w:iCs/>
          <w:lang w:val="en-GB"/>
        </w:rPr>
        <w:t xml:space="preserve"> </w:t>
      </w:r>
      <w:proofErr w:type="spellStart"/>
      <w:r w:rsidRPr="009E6FF9">
        <w:rPr>
          <w:rFonts w:ascii="Candara" w:hAnsi="Candara" w:cs="Times New Roman"/>
          <w:i/>
          <w:iCs/>
          <w:lang w:val="en-GB"/>
        </w:rPr>
        <w:t>Xuebao</w:t>
      </w:r>
      <w:proofErr w:type="spellEnd"/>
      <w:r w:rsidRPr="009E6FF9">
        <w:rPr>
          <w:rFonts w:ascii="Candara" w:hAnsi="Candara" w:cs="Times New Roman"/>
          <w:lang w:val="en-GB"/>
        </w:rPr>
        <w:t>, 49(2), pp. 967–977. Available at: https://doi.org/10.13225/j.cnki.jccs.yh23.1713.</w:t>
      </w:r>
    </w:p>
    <w:p w14:paraId="40D50D8D"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Byler, D. (2022) </w:t>
      </w:r>
      <w:r w:rsidRPr="009E6FF9">
        <w:rPr>
          <w:rFonts w:ascii="Candara" w:hAnsi="Candara" w:cs="Times New Roman"/>
          <w:i/>
          <w:iCs/>
          <w:lang w:val="en-GB"/>
        </w:rPr>
        <w:t>In the camps: life in China’s high-tech penal colony</w:t>
      </w:r>
      <w:r w:rsidRPr="009E6FF9">
        <w:rPr>
          <w:rFonts w:ascii="Candara" w:hAnsi="Candara" w:cs="Times New Roman"/>
          <w:lang w:val="en-GB"/>
        </w:rPr>
        <w:t>. London: Atlantic Books.</w:t>
      </w:r>
    </w:p>
    <w:p w14:paraId="4875AA9F"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European Union (2024) </w:t>
      </w:r>
      <w:r w:rsidRPr="009E6FF9">
        <w:rPr>
          <w:rFonts w:ascii="Candara" w:hAnsi="Candara" w:cs="Times New Roman"/>
          <w:i/>
          <w:iCs/>
          <w:lang w:val="en-GB"/>
        </w:rPr>
        <w:t>Regulation (EU) 2024/3015 of the European Parliament and of the Council of 27 November 2024 on prohibiting products made with forced labour on the Union market and amending Directive (EU) 2019/1937</w:t>
      </w:r>
      <w:r w:rsidRPr="009E6FF9">
        <w:rPr>
          <w:rFonts w:ascii="Candara" w:hAnsi="Candara" w:cs="Times New Roman"/>
          <w:lang w:val="en-GB"/>
        </w:rPr>
        <w:t>. Available at: https://eur-lex.europa.eu/eli/reg/2024/3015/oj/eng.</w:t>
      </w:r>
    </w:p>
    <w:p w14:paraId="651F6BC7"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Handley, E. (2019) ‘How China’s orchestrated tours of Xinjiang echo the “Potemkin villages” of authoritarian regimes’, </w:t>
      </w:r>
      <w:r w:rsidRPr="009E6FF9">
        <w:rPr>
          <w:rFonts w:ascii="Candara" w:hAnsi="Candara" w:cs="Times New Roman"/>
          <w:i/>
          <w:iCs/>
          <w:lang w:val="en-GB"/>
        </w:rPr>
        <w:t>ABC News</w:t>
      </w:r>
      <w:r w:rsidRPr="009E6FF9">
        <w:rPr>
          <w:rFonts w:ascii="Candara" w:hAnsi="Candara" w:cs="Times New Roman"/>
          <w:lang w:val="en-GB"/>
        </w:rPr>
        <w:t>, 3 August. Available at: https://www.abc.net.au/news/2019-08-03/the-art-of-the-tour-xinjiang-north-korea-khmer-rouge/11365368.</w:t>
      </w:r>
    </w:p>
    <w:p w14:paraId="01769F38"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Hennig, A. (2024) </w:t>
      </w:r>
      <w:r w:rsidRPr="009E6FF9">
        <w:rPr>
          <w:rFonts w:ascii="Candara" w:hAnsi="Candara" w:cs="Times New Roman"/>
          <w:i/>
          <w:iCs/>
          <w:lang w:val="en-GB"/>
        </w:rPr>
        <w:t>Hearing on: Factories and Fraud in the PRC: How Human Rights Violations Make Reliable Audits Impossible</w:t>
      </w:r>
      <w:r w:rsidRPr="009E6FF9">
        <w:rPr>
          <w:rFonts w:ascii="Candara" w:hAnsi="Candara" w:cs="Times New Roman"/>
          <w:lang w:val="en-GB"/>
        </w:rPr>
        <w:t>. CECC. Available at: https://www.cecc.gov/sites/evo-subsites/cecc.house.gov/files/documents/hearings/Written%20Testimony_AHennig_revised.pdf.</w:t>
      </w:r>
    </w:p>
    <w:p w14:paraId="3EC6C65D"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Human Rights Watch (2019) </w:t>
      </w:r>
      <w:r w:rsidRPr="009E6FF9">
        <w:rPr>
          <w:rFonts w:ascii="Candara" w:hAnsi="Candara" w:cs="Times New Roman"/>
          <w:i/>
          <w:iCs/>
          <w:lang w:val="en-GB"/>
        </w:rPr>
        <w:t>China’s Algorithms of Repression</w:t>
      </w:r>
      <w:r w:rsidRPr="009E6FF9">
        <w:rPr>
          <w:rFonts w:ascii="Candara" w:hAnsi="Candara" w:cs="Times New Roman"/>
          <w:lang w:val="en-GB"/>
        </w:rPr>
        <w:t>. Human Rights Watch. Available at: https://www.hrw.org/report/2019/05/01/chinas-algorithms-repression/reverse-engineering-xinjiang-police-mass.</w:t>
      </w:r>
    </w:p>
    <w:p w14:paraId="6AB4BF44"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Human Rights Watch (2024) </w:t>
      </w:r>
      <w:r w:rsidRPr="009E6FF9">
        <w:rPr>
          <w:rFonts w:ascii="Candara" w:hAnsi="Candara" w:cs="Times New Roman"/>
          <w:i/>
          <w:iCs/>
          <w:lang w:val="en-GB"/>
        </w:rPr>
        <w:t>Asleep at the Wheel: Car Companies’ Complicity in Forced Labor in China</w:t>
      </w:r>
      <w:r w:rsidRPr="009E6FF9">
        <w:rPr>
          <w:rFonts w:ascii="Candara" w:hAnsi="Candara" w:cs="Times New Roman"/>
          <w:lang w:val="en-GB"/>
        </w:rPr>
        <w:t>. Available at: https://www.hrw.org/report/2024/02/01/asleep-wheel/car-companies-complicity-forced-labor-china.</w:t>
      </w:r>
    </w:p>
    <w:p w14:paraId="331A8512"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ILO (2025) </w:t>
      </w:r>
      <w:r w:rsidRPr="009E6FF9">
        <w:rPr>
          <w:rFonts w:ascii="Candara" w:hAnsi="Candara" w:cs="Times New Roman"/>
          <w:i/>
          <w:iCs/>
          <w:lang w:val="en-GB"/>
        </w:rPr>
        <w:t>Application of International Labour Standards 2025</w:t>
      </w:r>
      <w:r w:rsidRPr="009E6FF9">
        <w:rPr>
          <w:rFonts w:ascii="Candara" w:hAnsi="Candara" w:cs="Times New Roman"/>
          <w:lang w:val="en-GB"/>
        </w:rPr>
        <w:t>. Available at: https://www.ilo.org/resource/conference-paper/application-international-labour-standards-2025.</w:t>
      </w:r>
    </w:p>
    <w:p w14:paraId="1B6FD690"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Kashyap, A. (2020) ‘Commentary: Five international firms refuse to conduct social audits in Xinjiang; time to recognise limitation of social audits everywhere, says NGO’, </w:t>
      </w:r>
      <w:r w:rsidRPr="009E6FF9">
        <w:rPr>
          <w:rFonts w:ascii="Candara" w:hAnsi="Candara" w:cs="Times New Roman"/>
          <w:i/>
          <w:iCs/>
          <w:lang w:val="en-GB"/>
        </w:rPr>
        <w:t>Business &amp; Human Rights Resource Centre</w:t>
      </w:r>
      <w:r w:rsidRPr="009E6FF9">
        <w:rPr>
          <w:rFonts w:ascii="Candara" w:hAnsi="Candara" w:cs="Times New Roman"/>
          <w:lang w:val="en-GB"/>
        </w:rPr>
        <w:t>, 9 October. Available at: https://www.business-humanrights.org/en/latest-news/commentary-social-audit-reforms-and-the-labor-rights-ruse/.</w:t>
      </w:r>
    </w:p>
    <w:p w14:paraId="746744B3" w14:textId="7145B024" w:rsidR="006C5258" w:rsidRDefault="004B1449" w:rsidP="004B1449">
      <w:pPr>
        <w:pStyle w:val="Bibliografia"/>
        <w:rPr>
          <w:rFonts w:ascii="Candara" w:hAnsi="Candara" w:cs="Times New Roman"/>
          <w:lang w:val="en-GB"/>
        </w:rPr>
      </w:pPr>
      <w:r w:rsidRPr="009E6FF9">
        <w:rPr>
          <w:rFonts w:ascii="Candara" w:hAnsi="Candara" w:cs="Times New Roman"/>
          <w:lang w:val="en-GB"/>
        </w:rPr>
        <w:t xml:space="preserve">Murphy, L.T. and </w:t>
      </w:r>
      <w:proofErr w:type="spellStart"/>
      <w:r w:rsidRPr="009E6FF9">
        <w:rPr>
          <w:rFonts w:ascii="Candara" w:hAnsi="Candara" w:cs="Times New Roman"/>
          <w:lang w:val="en-GB"/>
        </w:rPr>
        <w:t>Elimä</w:t>
      </w:r>
      <w:proofErr w:type="spellEnd"/>
      <w:r w:rsidRPr="009E6FF9">
        <w:rPr>
          <w:rFonts w:ascii="Candara" w:hAnsi="Candara" w:cs="Times New Roman"/>
          <w:lang w:val="en-GB"/>
        </w:rPr>
        <w:t xml:space="preserve">, N. (2021) </w:t>
      </w:r>
      <w:r w:rsidRPr="009E6FF9">
        <w:rPr>
          <w:rFonts w:ascii="Candara" w:hAnsi="Candara" w:cs="Times New Roman"/>
          <w:i/>
          <w:iCs/>
          <w:lang w:val="en-GB"/>
        </w:rPr>
        <w:t>In Broad Daylight: Uyghur Forced Labour and Global Solar Supply Chains</w:t>
      </w:r>
      <w:r w:rsidRPr="009E6FF9">
        <w:rPr>
          <w:rFonts w:ascii="Candara" w:hAnsi="Candara" w:cs="Times New Roman"/>
          <w:lang w:val="en-GB"/>
        </w:rPr>
        <w:t>. Sheffield Hallam University. Available at: https://media.business-humanrights.org/media/documents/In_Broad_Daylight_Uyghur_Forced_Labour_and_Global_Solar_Supply_Chains.pdf.</w:t>
      </w:r>
    </w:p>
    <w:p w14:paraId="7F11C304" w14:textId="77777777" w:rsidR="00153237" w:rsidRDefault="00153237" w:rsidP="004B1449">
      <w:pPr>
        <w:pStyle w:val="Bibliografia"/>
        <w:rPr>
          <w:rFonts w:ascii="Candara" w:hAnsi="Candara" w:cs="Times New Roman"/>
          <w:lang w:val="en-GB"/>
        </w:rPr>
      </w:pPr>
    </w:p>
    <w:p w14:paraId="24B02951" w14:textId="77777777" w:rsidR="00F23F87" w:rsidRPr="00F23F87" w:rsidRDefault="00F23F87" w:rsidP="00F23F87">
      <w:pPr>
        <w:rPr>
          <w:lang w:val="en-GB" w:eastAsia="zh-CN"/>
        </w:rPr>
      </w:pPr>
    </w:p>
    <w:p w14:paraId="547156FC" w14:textId="7F9E82ED"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Murphy, L.T., Vallette, J. and </w:t>
      </w:r>
      <w:proofErr w:type="spellStart"/>
      <w:r w:rsidRPr="009E6FF9">
        <w:rPr>
          <w:rFonts w:ascii="Candara" w:hAnsi="Candara" w:cs="Times New Roman"/>
          <w:lang w:val="en-GB"/>
        </w:rPr>
        <w:t>Elimä</w:t>
      </w:r>
      <w:proofErr w:type="spellEnd"/>
      <w:r w:rsidRPr="009E6FF9">
        <w:rPr>
          <w:rFonts w:ascii="Candara" w:hAnsi="Candara" w:cs="Times New Roman"/>
          <w:lang w:val="en-GB"/>
        </w:rPr>
        <w:t xml:space="preserve">, N. (2024) </w:t>
      </w:r>
      <w:r w:rsidRPr="009E6FF9">
        <w:rPr>
          <w:rFonts w:ascii="Candara" w:hAnsi="Candara" w:cs="Times New Roman"/>
          <w:i/>
          <w:iCs/>
          <w:lang w:val="en-GB"/>
        </w:rPr>
        <w:t>Built on Repression: PVC Building Materials’ Reliance on Labor and Environmental Abuses in the Uyghur Region</w:t>
      </w:r>
      <w:r w:rsidRPr="009E6FF9">
        <w:rPr>
          <w:rFonts w:ascii="Candara" w:hAnsi="Candara" w:cs="Times New Roman"/>
          <w:lang w:val="en-GB"/>
        </w:rPr>
        <w:t>. Sheffield Hallam University. Available at: https://cdn.freedomfund.org/app/uploads/2024/09/murphy-builtonrepressionvor.pdf.</w:t>
      </w:r>
    </w:p>
    <w:p w14:paraId="1B22D40C"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Ng, K. (2023) ‘</w:t>
      </w:r>
      <w:proofErr w:type="spellStart"/>
      <w:r w:rsidRPr="009E6FF9">
        <w:rPr>
          <w:rFonts w:ascii="Candara" w:hAnsi="Candara" w:cs="Times New Roman"/>
          <w:lang w:val="en-GB"/>
        </w:rPr>
        <w:t>Capvision</w:t>
      </w:r>
      <w:proofErr w:type="spellEnd"/>
      <w:r w:rsidRPr="009E6FF9">
        <w:rPr>
          <w:rFonts w:ascii="Candara" w:hAnsi="Candara" w:cs="Times New Roman"/>
          <w:lang w:val="en-GB"/>
        </w:rPr>
        <w:t xml:space="preserve">: China raids another consultancy in anti-spy crackdown’, </w:t>
      </w:r>
      <w:r w:rsidRPr="009E6FF9">
        <w:rPr>
          <w:rFonts w:ascii="Candara" w:hAnsi="Candara" w:cs="Times New Roman"/>
          <w:i/>
          <w:iCs/>
          <w:lang w:val="en-GB"/>
        </w:rPr>
        <w:t>BBC</w:t>
      </w:r>
      <w:r w:rsidRPr="009E6FF9">
        <w:rPr>
          <w:rFonts w:ascii="Candara" w:hAnsi="Candara" w:cs="Times New Roman"/>
          <w:lang w:val="en-GB"/>
        </w:rPr>
        <w:t>, 9 May. Available at: https://www.bbc.com/news/world-asia-china-65530082.</w:t>
      </w:r>
    </w:p>
    <w:p w14:paraId="222D8350"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OHCHR (2022) ‘OHCHR Assessment of human rights concerns in the Xinjiang Uyghur Autonomous Region, People’s Republic of China’. OHCHR. Available at: https://www.ohchr.org/en/documents/country-reports/ohchr-assessment-human-rights-concerns-xinjiang-uyghur-autonomous-region.</w:t>
      </w:r>
    </w:p>
    <w:p w14:paraId="47135B52"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Svec, J. (2022) ‘Labour transfers as a means of “civilizing” and forcibly assimilating ethnic minorities in western China’, </w:t>
      </w:r>
      <w:r w:rsidRPr="009E6FF9">
        <w:rPr>
          <w:rFonts w:ascii="Candara" w:hAnsi="Candara" w:cs="Times New Roman"/>
          <w:i/>
          <w:iCs/>
          <w:lang w:val="en-GB"/>
        </w:rPr>
        <w:t>Central Asian Survey</w:t>
      </w:r>
      <w:r w:rsidRPr="009E6FF9">
        <w:rPr>
          <w:rFonts w:ascii="Candara" w:hAnsi="Candara" w:cs="Times New Roman"/>
          <w:lang w:val="en-GB"/>
        </w:rPr>
        <w:t>, 41(3), pp. 385–401. Available at: https://doi.org/10.1080/02634937.2022.2054950.</w:t>
      </w:r>
    </w:p>
    <w:p w14:paraId="4CA328AA"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Vanderford, R. (2024) ‘Canada, Mexico Should Halt China Forced-Labor Imports, U.S. Lawmakers Say’, </w:t>
      </w:r>
      <w:r w:rsidRPr="009E6FF9">
        <w:rPr>
          <w:rFonts w:ascii="Candara" w:hAnsi="Candara" w:cs="Times New Roman"/>
          <w:i/>
          <w:iCs/>
          <w:lang w:val="en-GB"/>
        </w:rPr>
        <w:t>The Wall Street Journal</w:t>
      </w:r>
      <w:r w:rsidRPr="009E6FF9">
        <w:rPr>
          <w:rFonts w:ascii="Candara" w:hAnsi="Candara" w:cs="Times New Roman"/>
          <w:lang w:val="en-GB"/>
        </w:rPr>
        <w:t>, 24 September. Available at: https://www.wsj.com/articles/canada-mexico-should-halt-china-forced-labor-imports-u-s-lawmakers-say-d92a925c.</w:t>
      </w:r>
    </w:p>
    <w:p w14:paraId="2A5BCD5D"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Zenz, A. (2020) </w:t>
      </w:r>
      <w:r w:rsidRPr="009E6FF9">
        <w:rPr>
          <w:rFonts w:ascii="Candara" w:hAnsi="Candara" w:cs="Times New Roman"/>
          <w:i/>
          <w:iCs/>
          <w:lang w:val="en-GB"/>
        </w:rPr>
        <w:t>Coercive Labor in Xinjiang: Labor Transfer and the Mobilization of Ethnic Minorities to Pick Cotton</w:t>
      </w:r>
      <w:r w:rsidRPr="009E6FF9">
        <w:rPr>
          <w:rFonts w:ascii="Candara" w:hAnsi="Candara" w:cs="Times New Roman"/>
          <w:lang w:val="en-GB"/>
        </w:rPr>
        <w:t>. New Lines Institute. Available at: https://newlinesinstitute.org/rules-based-international-order/genocide/coercive-labor-in-xinjiang-labor-transfer-and-the-mobilization-of-ethnic-minorities-to-pick-cotton/.</w:t>
      </w:r>
    </w:p>
    <w:p w14:paraId="1EE226D4"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Zenz, A. (2021) </w:t>
      </w:r>
      <w:r w:rsidRPr="009E6FF9">
        <w:rPr>
          <w:rFonts w:ascii="Candara" w:hAnsi="Candara" w:cs="Times New Roman"/>
          <w:i/>
          <w:iCs/>
          <w:lang w:val="en-GB"/>
        </w:rPr>
        <w:t>Coercive Labor and Forced Displacement in Xinjiang’s Cross-Regional Labor Transfer Program</w:t>
      </w:r>
      <w:r w:rsidRPr="009E6FF9">
        <w:rPr>
          <w:rFonts w:ascii="Candara" w:hAnsi="Candara" w:cs="Times New Roman"/>
          <w:lang w:val="en-GB"/>
        </w:rPr>
        <w:t>. Jamestown Foundation. Available at: https://jamestown.org/product/coercive-labor-and-forced-displacement-in-xinjiangs-cross-regional-labor-transfer-program/.</w:t>
      </w:r>
    </w:p>
    <w:p w14:paraId="64F855C6"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Zenz, A. (2023a) ‘Measuring Non-Internment State-Imposed Forced Labor in Xinjiang and Central Asia: An Assessment of ILO Measurement Guidelines’, </w:t>
      </w:r>
      <w:r w:rsidRPr="009E6FF9">
        <w:rPr>
          <w:rFonts w:ascii="Candara" w:hAnsi="Candara" w:cs="Times New Roman"/>
          <w:i/>
          <w:iCs/>
          <w:lang w:val="en-GB"/>
        </w:rPr>
        <w:t>Journal of Human Trafficking</w:t>
      </w:r>
      <w:r w:rsidRPr="009E6FF9">
        <w:rPr>
          <w:rFonts w:ascii="Candara" w:hAnsi="Candara" w:cs="Times New Roman"/>
          <w:lang w:val="en-GB"/>
        </w:rPr>
        <w:t>, pp. 1–27. Available at: https://doi.org/10.1080/23322705.2023.2270366.</w:t>
      </w:r>
    </w:p>
    <w:p w14:paraId="25FF8711" w14:textId="77777777" w:rsidR="004B1449" w:rsidRPr="009E6FF9" w:rsidRDefault="004B1449" w:rsidP="004B1449">
      <w:pPr>
        <w:pStyle w:val="Bibliografia"/>
        <w:rPr>
          <w:rFonts w:ascii="Candara" w:hAnsi="Candara" w:cs="Times New Roman"/>
          <w:lang w:val="en-GB"/>
        </w:rPr>
      </w:pPr>
      <w:r w:rsidRPr="009E6FF9">
        <w:rPr>
          <w:rFonts w:ascii="Candara" w:hAnsi="Candara" w:cs="Times New Roman"/>
          <w:lang w:val="en-GB"/>
        </w:rPr>
        <w:t xml:space="preserve">Zenz, A. (2023b) ‘The conceptual evolution of poverty alleviation through labour transfer in the Xinjiang Uyghur Autonomous Region’, </w:t>
      </w:r>
      <w:r w:rsidRPr="009E6FF9">
        <w:rPr>
          <w:rFonts w:ascii="Candara" w:hAnsi="Candara" w:cs="Times New Roman"/>
          <w:i/>
          <w:iCs/>
          <w:lang w:val="en-GB"/>
        </w:rPr>
        <w:t>Central Asian Survey</w:t>
      </w:r>
      <w:r w:rsidRPr="009E6FF9">
        <w:rPr>
          <w:rFonts w:ascii="Candara" w:hAnsi="Candara" w:cs="Times New Roman"/>
          <w:lang w:val="en-GB"/>
        </w:rPr>
        <w:t>, 42(4), pp. 649–673. Available at: https://doi.org/10.1080/02634937.2023.2227225.</w:t>
      </w:r>
    </w:p>
    <w:p w14:paraId="56ED4D7F" w14:textId="77777777" w:rsidR="004B1449" w:rsidRPr="009E6FF9" w:rsidRDefault="004B1449" w:rsidP="004B1449">
      <w:pPr>
        <w:rPr>
          <w:lang w:val="en-GB"/>
        </w:rPr>
      </w:pPr>
      <w:r w:rsidRPr="009E6FF9">
        <w:rPr>
          <w:lang w:val="en-GB"/>
        </w:rPr>
        <w:t>Zenz, A. (2024) ‘Updated ILO Forced Labor Guidelines Directly Target Uyghur Forced Labor’, China Brief, 24(9). Available at: https://jamestown.org/program/updated-ilo-forced-labor-guidelines-directly-target-uyghur-forced-labor/.</w:t>
      </w:r>
    </w:p>
    <w:p w14:paraId="0992018A" w14:textId="77777777" w:rsidR="004B1449" w:rsidRPr="009E6FF9" w:rsidRDefault="004B1449" w:rsidP="00661542">
      <w:pPr>
        <w:pStyle w:val="Nadpis1"/>
      </w:pPr>
    </w:p>
    <w:p w14:paraId="71F749AA" w14:textId="77777777" w:rsidR="000A6F0D" w:rsidRPr="009E6FF9" w:rsidRDefault="000A6F0D" w:rsidP="00661542">
      <w:pPr>
        <w:pStyle w:val="Nadpis1"/>
      </w:pPr>
    </w:p>
    <w:p w14:paraId="2D7D3FBD" w14:textId="77777777" w:rsidR="000A6F0D" w:rsidRPr="009E6FF9" w:rsidRDefault="000A6F0D" w:rsidP="00661542">
      <w:pPr>
        <w:pStyle w:val="Nadpis1"/>
      </w:pPr>
    </w:p>
    <w:p w14:paraId="63E0819E" w14:textId="77777777" w:rsidR="00251472" w:rsidRDefault="00251472" w:rsidP="006C5258">
      <w:pPr>
        <w:pStyle w:val="Nadpis1"/>
      </w:pPr>
      <w:bookmarkStart w:id="9" w:name="_TOC_250000"/>
    </w:p>
    <w:p w14:paraId="516AA8A4" w14:textId="513B1D51" w:rsidR="00A848B9" w:rsidRPr="00A848B9" w:rsidRDefault="00A848B9" w:rsidP="00661542">
      <w:pPr>
        <w:pStyle w:val="Nadpis1"/>
      </w:pPr>
      <w:bookmarkStart w:id="10" w:name="_Toc210988701"/>
      <w:r w:rsidRPr="00A848B9">
        <w:t xml:space="preserve">About </w:t>
      </w:r>
      <w:bookmarkEnd w:id="9"/>
      <w:r w:rsidRPr="00A848B9">
        <w:t>EUROPEUM</w:t>
      </w:r>
      <w:bookmarkEnd w:id="10"/>
    </w:p>
    <w:p w14:paraId="03D47053" w14:textId="77777777" w:rsidR="00A848B9" w:rsidRDefault="00A848B9" w:rsidP="00661542">
      <w:pPr>
        <w:rPr>
          <w:lang w:val="en-GB"/>
        </w:rPr>
      </w:pPr>
    </w:p>
    <w:p w14:paraId="07E5E457" w14:textId="383BF8AF" w:rsidR="00581BDF" w:rsidRDefault="00A848B9" w:rsidP="00661542">
      <w:pPr>
        <w:rPr>
          <w:lang w:val="en-GB"/>
        </w:rPr>
      </w:pPr>
      <w:r w:rsidRPr="00A848B9">
        <w:rPr>
          <w:lang w:val="en-GB"/>
        </w:rPr>
        <w:t xml:space="preserve">EUROPEUM Institute for European Policy is a non-proﬁt, non-partisan, and independent think-tank focusing on European integration and cohesion. EUROPEUM contributes to democracy, security, stability, freedom, and solidarity across Europe as well as to active engagement of the Czech Republic in the European Union. EUROPEUM undertakes original research, organizes public events </w:t>
      </w:r>
      <w:r w:rsidR="005A1B29">
        <w:rPr>
          <w:lang w:val="en-GB"/>
        </w:rPr>
        <w:br/>
      </w:r>
      <w:r w:rsidRPr="00A848B9">
        <w:rPr>
          <w:lang w:val="en-GB"/>
        </w:rPr>
        <w:t>and educational activities, and formulates new ideas and recommendations to improve European and Czech policy making. We are the recipient of institutional funding from the European Commission under the Citizens, Equality, Rights and Values (CERV) programme.</w:t>
      </w:r>
    </w:p>
    <w:p w14:paraId="45BB2B73" w14:textId="57C6803B" w:rsidR="00B24D96" w:rsidRDefault="005D576B" w:rsidP="00661542">
      <w:pPr>
        <w:rPr>
          <w:lang w:val="en-GB"/>
        </w:rPr>
      </w:pPr>
      <w:r w:rsidRPr="005D576B">
        <w:rPr>
          <w:lang w:val="en-GB"/>
        </w:rPr>
        <w:t xml:space="preserve"> </w:t>
      </w:r>
    </w:p>
    <w:p w14:paraId="5A44F941" w14:textId="5353EE48" w:rsidR="008573E6" w:rsidRDefault="008573E6" w:rsidP="00661542">
      <w:pPr>
        <w:rPr>
          <w:lang w:val="en-GB"/>
        </w:rPr>
      </w:pPr>
    </w:p>
    <w:p w14:paraId="6D90DDD7" w14:textId="7BDC5EA7" w:rsidR="00B24D96" w:rsidRPr="005F51CD" w:rsidRDefault="00F23F87" w:rsidP="005F51CD">
      <w:pPr>
        <w:widowControl/>
        <w:autoSpaceDE/>
        <w:autoSpaceDN/>
        <w:jc w:val="left"/>
        <w:rPr>
          <w:rFonts w:ascii="Times New Roman" w:eastAsia="Times New Roman" w:hAnsi="Times New Roman" w:cs="Times New Roman"/>
          <w:sz w:val="24"/>
          <w:szCs w:val="24"/>
          <w:lang w:eastAsia="cs-CZ"/>
        </w:rPr>
      </w:pPr>
      <w:r w:rsidRPr="00A848B9">
        <w:rPr>
          <w:noProof/>
          <w:lang w:val="en-GB"/>
        </w:rPr>
        <w:drawing>
          <wp:anchor distT="0" distB="0" distL="0" distR="0" simplePos="0" relativeHeight="251658243" behindDoc="1" locked="0" layoutInCell="1" allowOverlap="1" wp14:anchorId="59E3874B" wp14:editId="09707A36">
            <wp:simplePos x="0" y="0"/>
            <wp:positionH relativeFrom="page">
              <wp:posOffset>4382135</wp:posOffset>
            </wp:positionH>
            <wp:positionV relativeFrom="paragraph">
              <wp:posOffset>5307330</wp:posOffset>
            </wp:positionV>
            <wp:extent cx="1625600" cy="745490"/>
            <wp:effectExtent l="0" t="0" r="0" b="3810"/>
            <wp:wrapTopAndBottom/>
            <wp:docPr id="50" name="Image 50" descr="A blue text with d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A blue text with dots&#10;&#10;AI-generated content may be incorrect."/>
                    <pic:cNvPicPr/>
                  </pic:nvPicPr>
                  <pic:blipFill>
                    <a:blip r:embed="rId10" cstate="print"/>
                    <a:stretch>
                      <a:fillRect/>
                    </a:stretch>
                  </pic:blipFill>
                  <pic:spPr>
                    <a:xfrm>
                      <a:off x="0" y="0"/>
                      <a:ext cx="1625600" cy="745490"/>
                    </a:xfrm>
                    <a:prstGeom prst="rect">
                      <a:avLst/>
                    </a:prstGeom>
                  </pic:spPr>
                </pic:pic>
              </a:graphicData>
            </a:graphic>
            <wp14:sizeRelH relativeFrom="margin">
              <wp14:pctWidth>0</wp14:pctWidth>
            </wp14:sizeRelH>
            <wp14:sizeRelV relativeFrom="margin">
              <wp14:pctHeight>0</wp14:pctHeight>
            </wp14:sizeRelV>
          </wp:anchor>
        </w:drawing>
      </w:r>
      <w:r w:rsidRPr="00A848B9">
        <w:rPr>
          <w:noProof/>
          <w:lang w:val="en-GB"/>
        </w:rPr>
        <w:drawing>
          <wp:anchor distT="0" distB="0" distL="0" distR="0" simplePos="0" relativeHeight="251658242" behindDoc="1" locked="0" layoutInCell="1" allowOverlap="1" wp14:anchorId="7B93E21E" wp14:editId="50282C58">
            <wp:simplePos x="0" y="0"/>
            <wp:positionH relativeFrom="page">
              <wp:posOffset>1428115</wp:posOffset>
            </wp:positionH>
            <wp:positionV relativeFrom="paragraph">
              <wp:posOffset>5477510</wp:posOffset>
            </wp:positionV>
            <wp:extent cx="2526665" cy="537845"/>
            <wp:effectExtent l="0" t="0" r="635" b="0"/>
            <wp:wrapTopAndBottom/>
            <wp:docPr id="49" name="Image 49" descr="Blu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Blue text on a black background&#10;&#10;AI-generated content may be incorrect."/>
                    <pic:cNvPicPr/>
                  </pic:nvPicPr>
                  <pic:blipFill>
                    <a:blip r:embed="rId11" cstate="print"/>
                    <a:stretch>
                      <a:fillRect/>
                    </a:stretch>
                  </pic:blipFill>
                  <pic:spPr>
                    <a:xfrm>
                      <a:off x="0" y="0"/>
                      <a:ext cx="2526665" cy="537845"/>
                    </a:xfrm>
                    <a:prstGeom prst="rect">
                      <a:avLst/>
                    </a:prstGeom>
                  </pic:spPr>
                </pic:pic>
              </a:graphicData>
            </a:graphic>
          </wp:anchor>
        </w:drawing>
      </w:r>
      <w:r w:rsidR="00B24D96" w:rsidRPr="00B24D96">
        <w:rPr>
          <w:rFonts w:ascii="Times New Roman" w:eastAsia="Times New Roman" w:hAnsi="Times New Roman" w:cs="Times New Roman"/>
          <w:sz w:val="24"/>
          <w:szCs w:val="24"/>
          <w:lang w:eastAsia="cs-CZ"/>
        </w:rPr>
        <w:fldChar w:fldCharType="begin"/>
      </w:r>
      <w:r w:rsidR="00B24D96" w:rsidRPr="00B24D96">
        <w:rPr>
          <w:rFonts w:ascii="Times New Roman" w:eastAsia="Times New Roman" w:hAnsi="Times New Roman" w:cs="Times New Roman"/>
          <w:sz w:val="24"/>
          <w:szCs w:val="24"/>
          <w:lang w:eastAsia="cs-CZ"/>
        </w:rPr>
        <w:instrText xml:space="preserve"> INCLUDEPICTURE "https://www.gov.pl/photo/format/fa4e7f25-6d36-4f77-a0fc-733504d26647/resolution/1920x810" \* MERGEFORMATINET </w:instrText>
      </w:r>
      <w:r w:rsidR="00B24D96" w:rsidRPr="00B24D96">
        <w:rPr>
          <w:rFonts w:ascii="Times New Roman" w:eastAsia="Times New Roman" w:hAnsi="Times New Roman" w:cs="Times New Roman"/>
          <w:sz w:val="24"/>
          <w:szCs w:val="24"/>
          <w:lang w:eastAsia="cs-CZ"/>
        </w:rPr>
        <w:fldChar w:fldCharType="separate"/>
      </w:r>
      <w:r w:rsidR="00B24D96" w:rsidRPr="00B24D96">
        <w:rPr>
          <w:rFonts w:ascii="Times New Roman" w:eastAsia="Times New Roman" w:hAnsi="Times New Roman" w:cs="Times New Roman"/>
          <w:sz w:val="24"/>
          <w:szCs w:val="24"/>
          <w:lang w:eastAsia="cs-CZ"/>
        </w:rPr>
        <w:fldChar w:fldCharType="end"/>
      </w:r>
    </w:p>
    <w:sectPr w:rsidR="00B24D96" w:rsidRPr="005F51CD" w:rsidSect="00144A68">
      <w:headerReference w:type="default" r:id="rId12"/>
      <w:footerReference w:type="even" r:id="rId13"/>
      <w:footerReference w:type="default" r:id="rId14"/>
      <w:pgSz w:w="11910" w:h="16840"/>
      <w:pgMar w:top="1980" w:right="1180" w:bottom="960" w:left="1200" w:header="0" w:footer="6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7D7B" w14:textId="77777777" w:rsidR="00781176" w:rsidRDefault="00781176" w:rsidP="00661542">
      <w:r>
        <w:separator/>
      </w:r>
    </w:p>
  </w:endnote>
  <w:endnote w:type="continuationSeparator" w:id="0">
    <w:p w14:paraId="08943032" w14:textId="77777777" w:rsidR="00781176" w:rsidRDefault="00781176" w:rsidP="00661542">
      <w:r>
        <w:continuationSeparator/>
      </w:r>
    </w:p>
  </w:endnote>
  <w:endnote w:type="continuationNotice" w:id="1">
    <w:p w14:paraId="64378600" w14:textId="77777777" w:rsidR="00781176" w:rsidRDefault="00781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Nadpis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081135041"/>
      <w:docPartObj>
        <w:docPartGallery w:val="Page Numbers (Bottom of Page)"/>
        <w:docPartUnique/>
      </w:docPartObj>
    </w:sdtPr>
    <w:sdtContent>
      <w:p w14:paraId="55B84844" w14:textId="75191F05" w:rsidR="00874011" w:rsidRDefault="00874011" w:rsidP="00961BE9">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6F1D1" w14:textId="77777777" w:rsidR="00C26013" w:rsidRDefault="00C26013" w:rsidP="0087401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775909261"/>
      <w:docPartObj>
        <w:docPartGallery w:val="Page Numbers (Bottom of Page)"/>
        <w:docPartUnique/>
      </w:docPartObj>
    </w:sdtPr>
    <w:sdtContent>
      <w:p w14:paraId="197F0F45" w14:textId="5ABD5CF3" w:rsidR="00874011" w:rsidRDefault="00874011" w:rsidP="00961BE9">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2342FC57" w14:textId="77777777" w:rsidR="00581BDF" w:rsidRDefault="00620811" w:rsidP="00874011">
    <w:pPr>
      <w:pStyle w:val="Zkladntext"/>
      <w:ind w:right="360"/>
      <w:rPr>
        <w:sz w:val="20"/>
      </w:rPr>
    </w:pPr>
    <w:r>
      <w:rPr>
        <w:noProof/>
      </w:rPr>
      <mc:AlternateContent>
        <mc:Choice Requires="wps">
          <w:drawing>
            <wp:anchor distT="0" distB="0" distL="0" distR="0" simplePos="0" relativeHeight="251658241" behindDoc="1" locked="0" layoutInCell="1" allowOverlap="1" wp14:anchorId="0383895B" wp14:editId="088D537C">
              <wp:simplePos x="0" y="0"/>
              <wp:positionH relativeFrom="page">
                <wp:posOffset>6482077</wp:posOffset>
              </wp:positionH>
              <wp:positionV relativeFrom="page">
                <wp:posOffset>10068124</wp:posOffset>
              </wp:positionV>
              <wp:extent cx="200025" cy="18224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82245"/>
                      </a:xfrm>
                      <a:prstGeom prst="rect">
                        <a:avLst/>
                      </a:prstGeom>
                    </wps:spPr>
                    <wps:txbx>
                      <w:txbxContent>
                        <w:p w14:paraId="1761CA81" w14:textId="30C87E6F" w:rsidR="00581BDF" w:rsidRDefault="00581BDF" w:rsidP="00661542">
                          <w:pPr>
                            <w:pStyle w:val="Zkladntext"/>
                          </w:pPr>
                        </w:p>
                      </w:txbxContent>
                    </wps:txbx>
                    <wps:bodyPr wrap="square" lIns="0" tIns="0" rIns="0" bIns="0" rtlCol="0">
                      <a:noAutofit/>
                    </wps:bodyPr>
                  </wps:wsp>
                </a:graphicData>
              </a:graphic>
            </wp:anchor>
          </w:drawing>
        </mc:Choice>
        <mc:Fallback>
          <w:pict>
            <v:shapetype w14:anchorId="0383895B" id="_x0000_t202" coordsize="21600,21600" o:spt="202" path="m,l,21600r21600,l21600,xe">
              <v:stroke joinstyle="miter"/>
              <v:path gradientshapeok="t" o:connecttype="rect"/>
            </v:shapetype>
            <v:shape id="Textbox 43" o:spid="_x0000_s1026" type="#_x0000_t202" style="position:absolute;left:0;text-align:left;margin-left:510.4pt;margin-top:792.75pt;width:15.75pt;height:14.3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" filled="f" stroked="f">
              <v:textbox inset="0,0,0,0">
                <w:txbxContent>
                  <w:p w14:paraId="1761CA81" w14:textId="30C87E6F" w:rsidR="00581BDF" w:rsidRDefault="00581BDF" w:rsidP="00661542">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BD00" w14:textId="77777777" w:rsidR="00781176" w:rsidRDefault="00781176" w:rsidP="00661542">
      <w:r>
        <w:separator/>
      </w:r>
    </w:p>
  </w:footnote>
  <w:footnote w:type="continuationSeparator" w:id="0">
    <w:p w14:paraId="56A2FD41" w14:textId="77777777" w:rsidR="00781176" w:rsidRDefault="00781176" w:rsidP="00661542">
      <w:r>
        <w:continuationSeparator/>
      </w:r>
    </w:p>
  </w:footnote>
  <w:footnote w:type="continuationNotice" w:id="1">
    <w:p w14:paraId="6B5C09DA" w14:textId="77777777" w:rsidR="00781176" w:rsidRDefault="00781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6663" w14:textId="77CFD411" w:rsidR="00581BDF" w:rsidRDefault="000A6F0D" w:rsidP="00661542">
    <w:pPr>
      <w:pStyle w:val="Zkladntext"/>
    </w:pPr>
    <w:r>
      <w:rPr>
        <w:noProof/>
      </w:rPr>
      <w:drawing>
        <wp:anchor distT="0" distB="0" distL="114300" distR="114300" simplePos="0" relativeHeight="251659266" behindDoc="1" locked="0" layoutInCell="1" allowOverlap="1" wp14:anchorId="4236FE8C" wp14:editId="6C910DB9">
          <wp:simplePos x="0" y="0"/>
          <wp:positionH relativeFrom="column">
            <wp:posOffset>-210820</wp:posOffset>
          </wp:positionH>
          <wp:positionV relativeFrom="paragraph">
            <wp:posOffset>684530</wp:posOffset>
          </wp:positionV>
          <wp:extent cx="1872615" cy="488315"/>
          <wp:effectExtent l="0" t="0" r="0" b="6985"/>
          <wp:wrapTight wrapText="bothSides">
            <wp:wrapPolygon edited="0">
              <wp:start x="0" y="0"/>
              <wp:lineTo x="0" y="21066"/>
              <wp:lineTo x="21314" y="21066"/>
              <wp:lineTo x="21314" y="0"/>
              <wp:lineTo x="0" y="0"/>
            </wp:wrapPolygon>
          </wp:wrapTight>
          <wp:docPr id="579669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488315"/>
                  </a:xfrm>
                  <a:prstGeom prst="rect">
                    <a:avLst/>
                  </a:prstGeom>
                  <a:noFill/>
                </pic:spPr>
              </pic:pic>
            </a:graphicData>
          </a:graphic>
          <wp14:sizeRelH relativeFrom="margin">
            <wp14:pctWidth>0</wp14:pctWidth>
          </wp14:sizeRelH>
          <wp14:sizeRelV relativeFrom="margin">
            <wp14:pctHeight>0</wp14:pctHeight>
          </wp14:sizeRelV>
        </wp:anchor>
      </w:drawing>
    </w:r>
    <w:r w:rsidR="00144A68">
      <w:rPr>
        <w:noProof/>
      </w:rPr>
      <w:drawing>
        <wp:anchor distT="0" distB="0" distL="114300" distR="114300" simplePos="0" relativeHeight="251658242" behindDoc="0" locked="0" layoutInCell="1" allowOverlap="1" wp14:anchorId="0584136B" wp14:editId="4F15783C">
          <wp:simplePos x="0" y="0"/>
          <wp:positionH relativeFrom="column">
            <wp:posOffset>-147726</wp:posOffset>
          </wp:positionH>
          <wp:positionV relativeFrom="paragraph">
            <wp:posOffset>181581</wp:posOffset>
          </wp:positionV>
          <wp:extent cx="1739900" cy="400395"/>
          <wp:effectExtent l="0" t="0" r="0" b="6350"/>
          <wp:wrapNone/>
          <wp:docPr id="1779199239" name="Picture 1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99239" name="Picture 13" descr="A 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739900" cy="400395"/>
                  </a:xfrm>
                  <a:prstGeom prst="rect">
                    <a:avLst/>
                  </a:prstGeom>
                </pic:spPr>
              </pic:pic>
            </a:graphicData>
          </a:graphic>
          <wp14:sizeRelH relativeFrom="page">
            <wp14:pctWidth>0</wp14:pctWidth>
          </wp14:sizeRelH>
          <wp14:sizeRelV relativeFrom="page">
            <wp14:pctHeight>0</wp14:pctHeight>
          </wp14:sizeRelV>
        </wp:anchor>
      </w:drawing>
    </w:r>
    <w:r w:rsidR="009059B4">
      <w:rPr>
        <w:noProof/>
      </w:rPr>
      <w:drawing>
        <wp:anchor distT="0" distB="0" distL="114300" distR="114300" simplePos="0" relativeHeight="251658240" behindDoc="1" locked="0" layoutInCell="1" allowOverlap="1" wp14:anchorId="39CAFA6C" wp14:editId="0CAAD2A3">
          <wp:simplePos x="0" y="0"/>
          <wp:positionH relativeFrom="column">
            <wp:posOffset>-762000</wp:posOffset>
          </wp:positionH>
          <wp:positionV relativeFrom="paragraph">
            <wp:posOffset>0</wp:posOffset>
          </wp:positionV>
          <wp:extent cx="7557768" cy="1266825"/>
          <wp:effectExtent l="0" t="0" r="0" b="3175"/>
          <wp:wrapNone/>
          <wp:docPr id="743854243" name="Image 41"/>
          <wp:cNvGraphicFramePr/>
          <a:graphic xmlns:a="http://schemas.openxmlformats.org/drawingml/2006/main">
            <a:graphicData uri="http://schemas.openxmlformats.org/drawingml/2006/picture">
              <pic:pic xmlns:pic="http://schemas.openxmlformats.org/drawingml/2006/picture">
                <pic:nvPicPr>
                  <pic:cNvPr id="743854243" name="Image 41"/>
                  <pic:cNvPicPr/>
                </pic:nvPicPr>
                <pic:blipFill>
                  <a:blip r:embed="rId3" cstate="print"/>
                  <a:stretch>
                    <a:fillRect/>
                  </a:stretch>
                </pic:blipFill>
                <pic:spPr>
                  <a:xfrm>
                    <a:off x="0" y="0"/>
                    <a:ext cx="7557768" cy="1266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09E5"/>
    <w:multiLevelType w:val="hybridMultilevel"/>
    <w:tmpl w:val="2BD6F69E"/>
    <w:lvl w:ilvl="0" w:tplc="00287238">
      <w:start w:val="3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87DDE"/>
    <w:multiLevelType w:val="hybridMultilevel"/>
    <w:tmpl w:val="D2FEF9F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64012"/>
    <w:multiLevelType w:val="hybridMultilevel"/>
    <w:tmpl w:val="6096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D978BA"/>
    <w:multiLevelType w:val="multilevel"/>
    <w:tmpl w:val="32C289F0"/>
    <w:lvl w:ilvl="0">
      <w:start w:val="2"/>
      <w:numFmt w:val="decimal"/>
      <w:lvlText w:val="%1."/>
      <w:lvlJc w:val="left"/>
      <w:pPr>
        <w:ind w:left="427" w:hanging="208"/>
      </w:pPr>
      <w:rPr>
        <w:rFonts w:ascii="Arial" w:eastAsia="Arial" w:hAnsi="Arial" w:cs="Arial" w:hint="default"/>
        <w:b/>
        <w:bCs/>
        <w:i/>
        <w:iCs/>
        <w:spacing w:val="0"/>
        <w:w w:val="82"/>
        <w:sz w:val="22"/>
        <w:szCs w:val="22"/>
        <w:lang w:val="en-US" w:eastAsia="en-US" w:bidi="ar-SA"/>
      </w:rPr>
    </w:lvl>
    <w:lvl w:ilvl="1">
      <w:start w:val="1"/>
      <w:numFmt w:val="decimal"/>
      <w:lvlText w:val="%1.%2."/>
      <w:lvlJc w:val="left"/>
      <w:pPr>
        <w:ind w:left="1203" w:hanging="364"/>
      </w:pPr>
      <w:rPr>
        <w:rFonts w:ascii="Arial" w:eastAsia="Arial" w:hAnsi="Arial" w:cs="Arial" w:hint="default"/>
        <w:b/>
        <w:bCs/>
        <w:i/>
        <w:iCs/>
        <w:spacing w:val="0"/>
        <w:w w:val="82"/>
        <w:sz w:val="22"/>
        <w:szCs w:val="22"/>
        <w:lang w:val="en-US" w:eastAsia="en-US" w:bidi="ar-SA"/>
      </w:rPr>
    </w:lvl>
    <w:lvl w:ilvl="2">
      <w:numFmt w:val="bullet"/>
      <w:lvlText w:val="•"/>
      <w:lvlJc w:val="left"/>
      <w:pPr>
        <w:ind w:left="2125" w:hanging="364"/>
      </w:pPr>
      <w:rPr>
        <w:rFonts w:hint="default"/>
        <w:lang w:val="en-US" w:eastAsia="en-US" w:bidi="ar-SA"/>
      </w:rPr>
    </w:lvl>
    <w:lvl w:ilvl="3">
      <w:numFmt w:val="bullet"/>
      <w:lvlText w:val="•"/>
      <w:lvlJc w:val="left"/>
      <w:pPr>
        <w:ind w:left="3050" w:hanging="364"/>
      </w:pPr>
      <w:rPr>
        <w:rFonts w:hint="default"/>
        <w:lang w:val="en-US" w:eastAsia="en-US" w:bidi="ar-SA"/>
      </w:rPr>
    </w:lvl>
    <w:lvl w:ilvl="4">
      <w:numFmt w:val="bullet"/>
      <w:lvlText w:val="•"/>
      <w:lvlJc w:val="left"/>
      <w:pPr>
        <w:ind w:left="3976" w:hanging="364"/>
      </w:pPr>
      <w:rPr>
        <w:rFonts w:hint="default"/>
        <w:lang w:val="en-US" w:eastAsia="en-US" w:bidi="ar-SA"/>
      </w:rPr>
    </w:lvl>
    <w:lvl w:ilvl="5">
      <w:numFmt w:val="bullet"/>
      <w:lvlText w:val="•"/>
      <w:lvlJc w:val="left"/>
      <w:pPr>
        <w:ind w:left="4901" w:hanging="364"/>
      </w:pPr>
      <w:rPr>
        <w:rFonts w:hint="default"/>
        <w:lang w:val="en-US" w:eastAsia="en-US" w:bidi="ar-SA"/>
      </w:rPr>
    </w:lvl>
    <w:lvl w:ilvl="6">
      <w:numFmt w:val="bullet"/>
      <w:lvlText w:val="•"/>
      <w:lvlJc w:val="left"/>
      <w:pPr>
        <w:ind w:left="5827" w:hanging="364"/>
      </w:pPr>
      <w:rPr>
        <w:rFonts w:hint="default"/>
        <w:lang w:val="en-US" w:eastAsia="en-US" w:bidi="ar-SA"/>
      </w:rPr>
    </w:lvl>
    <w:lvl w:ilvl="7">
      <w:numFmt w:val="bullet"/>
      <w:lvlText w:val="•"/>
      <w:lvlJc w:val="left"/>
      <w:pPr>
        <w:ind w:left="6752" w:hanging="364"/>
      </w:pPr>
      <w:rPr>
        <w:rFonts w:hint="default"/>
        <w:lang w:val="en-US" w:eastAsia="en-US" w:bidi="ar-SA"/>
      </w:rPr>
    </w:lvl>
    <w:lvl w:ilvl="8">
      <w:numFmt w:val="bullet"/>
      <w:lvlText w:val="•"/>
      <w:lvlJc w:val="left"/>
      <w:pPr>
        <w:ind w:left="7677" w:hanging="364"/>
      </w:pPr>
      <w:rPr>
        <w:rFonts w:hint="default"/>
        <w:lang w:val="en-US" w:eastAsia="en-US" w:bidi="ar-SA"/>
      </w:rPr>
    </w:lvl>
  </w:abstractNum>
  <w:abstractNum w:abstractNumId="4" w15:restartNumberingAfterBreak="0">
    <w:nsid w:val="3B514B30"/>
    <w:multiLevelType w:val="multilevel"/>
    <w:tmpl w:val="30FA417C"/>
    <w:lvl w:ilvl="0">
      <w:start w:val="2"/>
      <w:numFmt w:val="decimal"/>
      <w:lvlText w:val="%1."/>
      <w:lvlJc w:val="left"/>
      <w:pPr>
        <w:ind w:left="475" w:hanging="356"/>
      </w:pPr>
      <w:rPr>
        <w:rFonts w:ascii="Arial" w:eastAsia="Arial" w:hAnsi="Arial" w:cs="Arial" w:hint="default"/>
        <w:b/>
        <w:bCs/>
        <w:i w:val="0"/>
        <w:iCs w:val="0"/>
        <w:spacing w:val="-1"/>
        <w:w w:val="100"/>
        <w:sz w:val="32"/>
        <w:szCs w:val="32"/>
        <w:lang w:val="en-US" w:eastAsia="en-US" w:bidi="ar-SA"/>
      </w:rPr>
    </w:lvl>
    <w:lvl w:ilvl="1">
      <w:start w:val="1"/>
      <w:numFmt w:val="decimal"/>
      <w:lvlText w:val="%1.%2."/>
      <w:lvlJc w:val="left"/>
      <w:pPr>
        <w:ind w:left="664" w:hanging="545"/>
      </w:pPr>
      <w:rPr>
        <w:rFonts w:ascii="Arial" w:eastAsia="Arial" w:hAnsi="Arial" w:cs="Arial" w:hint="default"/>
        <w:b/>
        <w:bCs/>
        <w:i w:val="0"/>
        <w:iCs w:val="0"/>
        <w:spacing w:val="0"/>
        <w:w w:val="99"/>
        <w:sz w:val="28"/>
        <w:szCs w:val="28"/>
        <w:lang w:val="en-US" w:eastAsia="en-US" w:bidi="ar-SA"/>
      </w:rPr>
    </w:lvl>
    <w:lvl w:ilvl="2">
      <w:numFmt w:val="bullet"/>
      <w:lvlText w:val="•"/>
      <w:lvlJc w:val="left"/>
      <w:pPr>
        <w:ind w:left="1645" w:hanging="545"/>
      </w:pPr>
      <w:rPr>
        <w:rFonts w:hint="default"/>
        <w:lang w:val="en-US" w:eastAsia="en-US" w:bidi="ar-SA"/>
      </w:rPr>
    </w:lvl>
    <w:lvl w:ilvl="3">
      <w:numFmt w:val="bullet"/>
      <w:lvlText w:val="•"/>
      <w:lvlJc w:val="left"/>
      <w:pPr>
        <w:ind w:left="2630" w:hanging="545"/>
      </w:pPr>
      <w:rPr>
        <w:rFonts w:hint="default"/>
        <w:lang w:val="en-US" w:eastAsia="en-US" w:bidi="ar-SA"/>
      </w:rPr>
    </w:lvl>
    <w:lvl w:ilvl="4">
      <w:numFmt w:val="bullet"/>
      <w:lvlText w:val="•"/>
      <w:lvlJc w:val="left"/>
      <w:pPr>
        <w:ind w:left="3616" w:hanging="545"/>
      </w:pPr>
      <w:rPr>
        <w:rFonts w:hint="default"/>
        <w:lang w:val="en-US" w:eastAsia="en-US" w:bidi="ar-SA"/>
      </w:rPr>
    </w:lvl>
    <w:lvl w:ilvl="5">
      <w:numFmt w:val="bullet"/>
      <w:lvlText w:val="•"/>
      <w:lvlJc w:val="left"/>
      <w:pPr>
        <w:ind w:left="4601" w:hanging="545"/>
      </w:pPr>
      <w:rPr>
        <w:rFonts w:hint="default"/>
        <w:lang w:val="en-US" w:eastAsia="en-US" w:bidi="ar-SA"/>
      </w:rPr>
    </w:lvl>
    <w:lvl w:ilvl="6">
      <w:numFmt w:val="bullet"/>
      <w:lvlText w:val="•"/>
      <w:lvlJc w:val="left"/>
      <w:pPr>
        <w:ind w:left="5587" w:hanging="545"/>
      </w:pPr>
      <w:rPr>
        <w:rFonts w:hint="default"/>
        <w:lang w:val="en-US" w:eastAsia="en-US" w:bidi="ar-SA"/>
      </w:rPr>
    </w:lvl>
    <w:lvl w:ilvl="7">
      <w:numFmt w:val="bullet"/>
      <w:lvlText w:val="•"/>
      <w:lvlJc w:val="left"/>
      <w:pPr>
        <w:ind w:left="6572" w:hanging="545"/>
      </w:pPr>
      <w:rPr>
        <w:rFonts w:hint="default"/>
        <w:lang w:val="en-US" w:eastAsia="en-US" w:bidi="ar-SA"/>
      </w:rPr>
    </w:lvl>
    <w:lvl w:ilvl="8">
      <w:numFmt w:val="bullet"/>
      <w:lvlText w:val="•"/>
      <w:lvlJc w:val="left"/>
      <w:pPr>
        <w:ind w:left="7557" w:hanging="545"/>
      </w:pPr>
      <w:rPr>
        <w:rFonts w:hint="default"/>
        <w:lang w:val="en-US" w:eastAsia="en-US" w:bidi="ar-SA"/>
      </w:rPr>
    </w:lvl>
  </w:abstractNum>
  <w:abstractNum w:abstractNumId="5" w15:restartNumberingAfterBreak="0">
    <w:nsid w:val="3D940BF3"/>
    <w:multiLevelType w:val="hybridMultilevel"/>
    <w:tmpl w:val="59A43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78B6F3B"/>
    <w:multiLevelType w:val="hybridMultilevel"/>
    <w:tmpl w:val="5302E936"/>
    <w:lvl w:ilvl="0" w:tplc="261A409E">
      <w:start w:val="36"/>
      <w:numFmt w:val="bullet"/>
      <w:lvlText w:val=""/>
      <w:lvlJc w:val="left"/>
      <w:pPr>
        <w:ind w:left="365" w:hanging="360"/>
      </w:pPr>
      <w:rPr>
        <w:rFonts w:ascii="Symbol" w:eastAsia="Arial" w:hAnsi="Symbol" w:cs="Arial" w:hint="default"/>
        <w:color w:val="auto"/>
        <w:w w:val="90"/>
        <w:sz w:val="20"/>
      </w:rPr>
    </w:lvl>
    <w:lvl w:ilvl="1" w:tplc="08090003" w:tentative="1">
      <w:start w:val="1"/>
      <w:numFmt w:val="bullet"/>
      <w:lvlText w:val="o"/>
      <w:lvlJc w:val="left"/>
      <w:pPr>
        <w:ind w:left="1085" w:hanging="360"/>
      </w:pPr>
      <w:rPr>
        <w:rFonts w:ascii="Courier New" w:hAnsi="Courier New" w:cs="Courier New" w:hint="default"/>
      </w:rPr>
    </w:lvl>
    <w:lvl w:ilvl="2" w:tplc="08090005" w:tentative="1">
      <w:start w:val="1"/>
      <w:numFmt w:val="bullet"/>
      <w:lvlText w:val=""/>
      <w:lvlJc w:val="left"/>
      <w:pPr>
        <w:ind w:left="1805" w:hanging="360"/>
      </w:pPr>
      <w:rPr>
        <w:rFonts w:ascii="Wingdings" w:hAnsi="Wingdings" w:hint="default"/>
      </w:rPr>
    </w:lvl>
    <w:lvl w:ilvl="3" w:tplc="08090001" w:tentative="1">
      <w:start w:val="1"/>
      <w:numFmt w:val="bullet"/>
      <w:lvlText w:val=""/>
      <w:lvlJc w:val="left"/>
      <w:pPr>
        <w:ind w:left="2525" w:hanging="360"/>
      </w:pPr>
      <w:rPr>
        <w:rFonts w:ascii="Symbol" w:hAnsi="Symbol" w:hint="default"/>
      </w:rPr>
    </w:lvl>
    <w:lvl w:ilvl="4" w:tplc="08090003" w:tentative="1">
      <w:start w:val="1"/>
      <w:numFmt w:val="bullet"/>
      <w:lvlText w:val="o"/>
      <w:lvlJc w:val="left"/>
      <w:pPr>
        <w:ind w:left="3245" w:hanging="360"/>
      </w:pPr>
      <w:rPr>
        <w:rFonts w:ascii="Courier New" w:hAnsi="Courier New" w:cs="Courier New" w:hint="default"/>
      </w:rPr>
    </w:lvl>
    <w:lvl w:ilvl="5" w:tplc="08090005" w:tentative="1">
      <w:start w:val="1"/>
      <w:numFmt w:val="bullet"/>
      <w:lvlText w:val=""/>
      <w:lvlJc w:val="left"/>
      <w:pPr>
        <w:ind w:left="3965" w:hanging="360"/>
      </w:pPr>
      <w:rPr>
        <w:rFonts w:ascii="Wingdings" w:hAnsi="Wingdings" w:hint="default"/>
      </w:rPr>
    </w:lvl>
    <w:lvl w:ilvl="6" w:tplc="08090001" w:tentative="1">
      <w:start w:val="1"/>
      <w:numFmt w:val="bullet"/>
      <w:lvlText w:val=""/>
      <w:lvlJc w:val="left"/>
      <w:pPr>
        <w:ind w:left="4685" w:hanging="360"/>
      </w:pPr>
      <w:rPr>
        <w:rFonts w:ascii="Symbol" w:hAnsi="Symbol" w:hint="default"/>
      </w:rPr>
    </w:lvl>
    <w:lvl w:ilvl="7" w:tplc="08090003" w:tentative="1">
      <w:start w:val="1"/>
      <w:numFmt w:val="bullet"/>
      <w:lvlText w:val="o"/>
      <w:lvlJc w:val="left"/>
      <w:pPr>
        <w:ind w:left="5405" w:hanging="360"/>
      </w:pPr>
      <w:rPr>
        <w:rFonts w:ascii="Courier New" w:hAnsi="Courier New" w:cs="Courier New" w:hint="default"/>
      </w:rPr>
    </w:lvl>
    <w:lvl w:ilvl="8" w:tplc="08090005" w:tentative="1">
      <w:start w:val="1"/>
      <w:numFmt w:val="bullet"/>
      <w:lvlText w:val=""/>
      <w:lvlJc w:val="left"/>
      <w:pPr>
        <w:ind w:left="6125" w:hanging="360"/>
      </w:pPr>
      <w:rPr>
        <w:rFonts w:ascii="Wingdings" w:hAnsi="Wingdings" w:hint="default"/>
      </w:rPr>
    </w:lvl>
  </w:abstractNum>
  <w:abstractNum w:abstractNumId="7" w15:restartNumberingAfterBreak="0">
    <w:nsid w:val="52776667"/>
    <w:multiLevelType w:val="hybridMultilevel"/>
    <w:tmpl w:val="F320AECE"/>
    <w:lvl w:ilvl="0" w:tplc="F3B8A2F4">
      <w:start w:val="3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76961"/>
    <w:multiLevelType w:val="hybridMultilevel"/>
    <w:tmpl w:val="EF8450CE"/>
    <w:lvl w:ilvl="0" w:tplc="62362B8A">
      <w:start w:val="1"/>
      <w:numFmt w:val="decimal"/>
      <w:lvlText w:val="%1."/>
      <w:lvlJc w:val="left"/>
      <w:pPr>
        <w:ind w:left="840" w:hanging="360"/>
      </w:pPr>
      <w:rPr>
        <w:rFonts w:ascii="Arial" w:eastAsia="Arial" w:hAnsi="Arial" w:cs="Arial" w:hint="default"/>
        <w:b w:val="0"/>
        <w:bCs w:val="0"/>
        <w:i w:val="0"/>
        <w:iCs w:val="0"/>
        <w:spacing w:val="-1"/>
        <w:w w:val="91"/>
        <w:sz w:val="22"/>
        <w:szCs w:val="22"/>
        <w:lang w:val="en-US" w:eastAsia="en-US" w:bidi="ar-SA"/>
      </w:rPr>
    </w:lvl>
    <w:lvl w:ilvl="1" w:tplc="9E887138">
      <w:numFmt w:val="bullet"/>
      <w:lvlText w:val="•"/>
      <w:lvlJc w:val="left"/>
      <w:pPr>
        <w:ind w:left="1708" w:hanging="360"/>
      </w:pPr>
      <w:rPr>
        <w:rFonts w:hint="default"/>
        <w:lang w:val="en-US" w:eastAsia="en-US" w:bidi="ar-SA"/>
      </w:rPr>
    </w:lvl>
    <w:lvl w:ilvl="2" w:tplc="117C0292">
      <w:numFmt w:val="bullet"/>
      <w:lvlText w:val="•"/>
      <w:lvlJc w:val="left"/>
      <w:pPr>
        <w:ind w:left="2577" w:hanging="360"/>
      </w:pPr>
      <w:rPr>
        <w:rFonts w:hint="default"/>
        <w:lang w:val="en-US" w:eastAsia="en-US" w:bidi="ar-SA"/>
      </w:rPr>
    </w:lvl>
    <w:lvl w:ilvl="3" w:tplc="E00489BA">
      <w:numFmt w:val="bullet"/>
      <w:lvlText w:val="•"/>
      <w:lvlJc w:val="left"/>
      <w:pPr>
        <w:ind w:left="3446" w:hanging="360"/>
      </w:pPr>
      <w:rPr>
        <w:rFonts w:hint="default"/>
        <w:lang w:val="en-US" w:eastAsia="en-US" w:bidi="ar-SA"/>
      </w:rPr>
    </w:lvl>
    <w:lvl w:ilvl="4" w:tplc="173840DA">
      <w:numFmt w:val="bullet"/>
      <w:lvlText w:val="•"/>
      <w:lvlJc w:val="left"/>
      <w:pPr>
        <w:ind w:left="4315" w:hanging="360"/>
      </w:pPr>
      <w:rPr>
        <w:rFonts w:hint="default"/>
        <w:lang w:val="en-US" w:eastAsia="en-US" w:bidi="ar-SA"/>
      </w:rPr>
    </w:lvl>
    <w:lvl w:ilvl="5" w:tplc="44087534">
      <w:numFmt w:val="bullet"/>
      <w:lvlText w:val="•"/>
      <w:lvlJc w:val="left"/>
      <w:pPr>
        <w:ind w:left="5184" w:hanging="360"/>
      </w:pPr>
      <w:rPr>
        <w:rFonts w:hint="default"/>
        <w:lang w:val="en-US" w:eastAsia="en-US" w:bidi="ar-SA"/>
      </w:rPr>
    </w:lvl>
    <w:lvl w:ilvl="6" w:tplc="B04CE49E">
      <w:numFmt w:val="bullet"/>
      <w:lvlText w:val="•"/>
      <w:lvlJc w:val="left"/>
      <w:pPr>
        <w:ind w:left="6053" w:hanging="360"/>
      </w:pPr>
      <w:rPr>
        <w:rFonts w:hint="default"/>
        <w:lang w:val="en-US" w:eastAsia="en-US" w:bidi="ar-SA"/>
      </w:rPr>
    </w:lvl>
    <w:lvl w:ilvl="7" w:tplc="0B668B1E">
      <w:numFmt w:val="bullet"/>
      <w:lvlText w:val="•"/>
      <w:lvlJc w:val="left"/>
      <w:pPr>
        <w:ind w:left="6922" w:hanging="360"/>
      </w:pPr>
      <w:rPr>
        <w:rFonts w:hint="default"/>
        <w:lang w:val="en-US" w:eastAsia="en-US" w:bidi="ar-SA"/>
      </w:rPr>
    </w:lvl>
    <w:lvl w:ilvl="8" w:tplc="88FCB044">
      <w:numFmt w:val="bullet"/>
      <w:lvlText w:val="•"/>
      <w:lvlJc w:val="left"/>
      <w:pPr>
        <w:ind w:left="7791" w:hanging="360"/>
      </w:pPr>
      <w:rPr>
        <w:rFonts w:hint="default"/>
        <w:lang w:val="en-US" w:eastAsia="en-US" w:bidi="ar-SA"/>
      </w:rPr>
    </w:lvl>
  </w:abstractNum>
  <w:abstractNum w:abstractNumId="9" w15:restartNumberingAfterBreak="0">
    <w:nsid w:val="60B417EF"/>
    <w:multiLevelType w:val="hybridMultilevel"/>
    <w:tmpl w:val="E2100F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060054">
    <w:abstractNumId w:val="8"/>
  </w:num>
  <w:num w:numId="2" w16cid:durableId="1274363594">
    <w:abstractNumId w:val="4"/>
  </w:num>
  <w:num w:numId="3" w16cid:durableId="101268200">
    <w:abstractNumId w:val="3"/>
  </w:num>
  <w:num w:numId="4" w16cid:durableId="343557062">
    <w:abstractNumId w:val="1"/>
  </w:num>
  <w:num w:numId="5" w16cid:durableId="1255892869">
    <w:abstractNumId w:val="0"/>
  </w:num>
  <w:num w:numId="6" w16cid:durableId="203106272">
    <w:abstractNumId w:val="7"/>
  </w:num>
  <w:num w:numId="7" w16cid:durableId="298413673">
    <w:abstractNumId w:val="6"/>
  </w:num>
  <w:num w:numId="8" w16cid:durableId="1146164381">
    <w:abstractNumId w:val="5"/>
  </w:num>
  <w:num w:numId="9" w16cid:durableId="329455056">
    <w:abstractNumId w:val="2"/>
  </w:num>
  <w:num w:numId="10" w16cid:durableId="18603897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42"/>
    <w:rsid w:val="000113CD"/>
    <w:rsid w:val="00014349"/>
    <w:rsid w:val="000157C4"/>
    <w:rsid w:val="000214F4"/>
    <w:rsid w:val="00027088"/>
    <w:rsid w:val="00044B43"/>
    <w:rsid w:val="0005249C"/>
    <w:rsid w:val="0005619F"/>
    <w:rsid w:val="00074672"/>
    <w:rsid w:val="000766B0"/>
    <w:rsid w:val="00092318"/>
    <w:rsid w:val="000A6F0D"/>
    <w:rsid w:val="000B20A3"/>
    <w:rsid w:val="000F492C"/>
    <w:rsid w:val="000F6119"/>
    <w:rsid w:val="0010633C"/>
    <w:rsid w:val="00124821"/>
    <w:rsid w:val="00144A68"/>
    <w:rsid w:val="00146FBA"/>
    <w:rsid w:val="00153237"/>
    <w:rsid w:val="00154E60"/>
    <w:rsid w:val="00181635"/>
    <w:rsid w:val="001825BA"/>
    <w:rsid w:val="001E1BBB"/>
    <w:rsid w:val="001E33CF"/>
    <w:rsid w:val="00200D01"/>
    <w:rsid w:val="002010D8"/>
    <w:rsid w:val="00213C33"/>
    <w:rsid w:val="00241BC9"/>
    <w:rsid w:val="00251472"/>
    <w:rsid w:val="002515B1"/>
    <w:rsid w:val="00266CEE"/>
    <w:rsid w:val="00280899"/>
    <w:rsid w:val="002873F0"/>
    <w:rsid w:val="002C4D06"/>
    <w:rsid w:val="002D764B"/>
    <w:rsid w:val="003040B7"/>
    <w:rsid w:val="00311F2E"/>
    <w:rsid w:val="00315793"/>
    <w:rsid w:val="00350ADE"/>
    <w:rsid w:val="00394670"/>
    <w:rsid w:val="003A1583"/>
    <w:rsid w:val="004126E5"/>
    <w:rsid w:val="004129D1"/>
    <w:rsid w:val="00415C55"/>
    <w:rsid w:val="00455B9F"/>
    <w:rsid w:val="0046306F"/>
    <w:rsid w:val="0047190D"/>
    <w:rsid w:val="00483B9C"/>
    <w:rsid w:val="004B1449"/>
    <w:rsid w:val="0050497E"/>
    <w:rsid w:val="00515A85"/>
    <w:rsid w:val="00551CF5"/>
    <w:rsid w:val="00566C79"/>
    <w:rsid w:val="0057619F"/>
    <w:rsid w:val="00581BDF"/>
    <w:rsid w:val="00593C0E"/>
    <w:rsid w:val="005A1B29"/>
    <w:rsid w:val="005B4659"/>
    <w:rsid w:val="005C2EEB"/>
    <w:rsid w:val="005D576B"/>
    <w:rsid w:val="005F51CD"/>
    <w:rsid w:val="00620811"/>
    <w:rsid w:val="00650049"/>
    <w:rsid w:val="00661542"/>
    <w:rsid w:val="00672F4D"/>
    <w:rsid w:val="006B0768"/>
    <w:rsid w:val="006C5258"/>
    <w:rsid w:val="006E7F9C"/>
    <w:rsid w:val="0073783F"/>
    <w:rsid w:val="00756AB3"/>
    <w:rsid w:val="00757B51"/>
    <w:rsid w:val="0077056B"/>
    <w:rsid w:val="00780F58"/>
    <w:rsid w:val="00781176"/>
    <w:rsid w:val="007A1EE2"/>
    <w:rsid w:val="00802A79"/>
    <w:rsid w:val="00813177"/>
    <w:rsid w:val="0085108C"/>
    <w:rsid w:val="008573E6"/>
    <w:rsid w:val="00860B9C"/>
    <w:rsid w:val="00871E25"/>
    <w:rsid w:val="00874011"/>
    <w:rsid w:val="008A1C66"/>
    <w:rsid w:val="008A3F85"/>
    <w:rsid w:val="008C418F"/>
    <w:rsid w:val="008F21FB"/>
    <w:rsid w:val="009059B4"/>
    <w:rsid w:val="0091072E"/>
    <w:rsid w:val="009159A9"/>
    <w:rsid w:val="009335DA"/>
    <w:rsid w:val="00985E23"/>
    <w:rsid w:val="009861A5"/>
    <w:rsid w:val="009E6FF9"/>
    <w:rsid w:val="009F3518"/>
    <w:rsid w:val="00A160B1"/>
    <w:rsid w:val="00A17DEC"/>
    <w:rsid w:val="00A4002F"/>
    <w:rsid w:val="00A71BFD"/>
    <w:rsid w:val="00A848B9"/>
    <w:rsid w:val="00AA02D3"/>
    <w:rsid w:val="00AA163D"/>
    <w:rsid w:val="00AA17D3"/>
    <w:rsid w:val="00AB6341"/>
    <w:rsid w:val="00AB7F57"/>
    <w:rsid w:val="00AC1248"/>
    <w:rsid w:val="00B24D96"/>
    <w:rsid w:val="00B416E8"/>
    <w:rsid w:val="00B867D1"/>
    <w:rsid w:val="00BA526F"/>
    <w:rsid w:val="00BA65A0"/>
    <w:rsid w:val="00BB1055"/>
    <w:rsid w:val="00BF67BD"/>
    <w:rsid w:val="00C26013"/>
    <w:rsid w:val="00C41805"/>
    <w:rsid w:val="00C516AA"/>
    <w:rsid w:val="00C617D2"/>
    <w:rsid w:val="00C912E1"/>
    <w:rsid w:val="00C93305"/>
    <w:rsid w:val="00CA71A5"/>
    <w:rsid w:val="00CD5FAA"/>
    <w:rsid w:val="00CF1CF4"/>
    <w:rsid w:val="00D012A3"/>
    <w:rsid w:val="00D0443B"/>
    <w:rsid w:val="00D04D7A"/>
    <w:rsid w:val="00D2038F"/>
    <w:rsid w:val="00D26124"/>
    <w:rsid w:val="00D62A72"/>
    <w:rsid w:val="00D64F6B"/>
    <w:rsid w:val="00D93F5A"/>
    <w:rsid w:val="00D97D12"/>
    <w:rsid w:val="00DA0BC8"/>
    <w:rsid w:val="00DA5A58"/>
    <w:rsid w:val="00DD0A6D"/>
    <w:rsid w:val="00DE2963"/>
    <w:rsid w:val="00DE6552"/>
    <w:rsid w:val="00DF44A7"/>
    <w:rsid w:val="00E023A7"/>
    <w:rsid w:val="00E44C61"/>
    <w:rsid w:val="00E61696"/>
    <w:rsid w:val="00E70AD9"/>
    <w:rsid w:val="00E80D67"/>
    <w:rsid w:val="00EA0D27"/>
    <w:rsid w:val="00EA25A3"/>
    <w:rsid w:val="00EB4507"/>
    <w:rsid w:val="00ED7176"/>
    <w:rsid w:val="00EE4109"/>
    <w:rsid w:val="00EE50EB"/>
    <w:rsid w:val="00F16CC5"/>
    <w:rsid w:val="00F23F87"/>
    <w:rsid w:val="00F47517"/>
    <w:rsid w:val="00F52213"/>
    <w:rsid w:val="00F541D8"/>
    <w:rsid w:val="00F81B93"/>
    <w:rsid w:val="00FA397D"/>
    <w:rsid w:val="248992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F703"/>
  <w15:docId w15:val="{47A1DCDF-19EF-4201-B3C1-290A245D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61542"/>
    <w:pPr>
      <w:jc w:val="both"/>
    </w:pPr>
    <w:rPr>
      <w:rFonts w:ascii="Candara" w:eastAsia="Arial" w:hAnsi="Candara" w:cs="Arial"/>
      <w:lang w:val="cs-CZ"/>
    </w:rPr>
  </w:style>
  <w:style w:type="paragraph" w:styleId="Nadpis1">
    <w:name w:val="heading 1"/>
    <w:basedOn w:val="Normlny"/>
    <w:uiPriority w:val="9"/>
    <w:qFormat/>
    <w:rsid w:val="00F23F87"/>
    <w:pPr>
      <w:outlineLvl w:val="0"/>
    </w:pPr>
    <w:rPr>
      <w:b/>
      <w:bCs/>
      <w:sz w:val="32"/>
      <w:szCs w:val="32"/>
      <w:lang w:val="en-GB"/>
    </w:rPr>
  </w:style>
  <w:style w:type="paragraph" w:styleId="Nadpis2">
    <w:name w:val="heading 2"/>
    <w:basedOn w:val="Normlny"/>
    <w:uiPriority w:val="9"/>
    <w:unhideWhenUsed/>
    <w:qFormat/>
    <w:rsid w:val="00ED7176"/>
    <w:pPr>
      <w:spacing w:before="1" w:line="321" w:lineRule="exact"/>
      <w:ind w:left="662" w:hanging="542"/>
      <w:outlineLvl w:val="1"/>
    </w:pPr>
    <w:rPr>
      <w:b/>
      <w:bCs/>
      <w:sz w:val="28"/>
      <w:szCs w:val="28"/>
    </w:rPr>
  </w:style>
  <w:style w:type="paragraph" w:styleId="Nadpis3">
    <w:name w:val="heading 3"/>
    <w:basedOn w:val="Normlny"/>
    <w:uiPriority w:val="9"/>
    <w:unhideWhenUsed/>
    <w:qFormat/>
    <w:pPr>
      <w:spacing w:before="302"/>
      <w:ind w:left="219" w:right="219"/>
      <w:outlineLvl w:val="2"/>
    </w:pPr>
    <w:rPr>
      <w:sz w:val="24"/>
      <w:szCs w:val="24"/>
    </w:rPr>
  </w:style>
  <w:style w:type="paragraph" w:styleId="Nadpis4">
    <w:name w:val="heading 4"/>
    <w:basedOn w:val="Normlny"/>
    <w:uiPriority w:val="9"/>
    <w:unhideWhenUsed/>
    <w:qFormat/>
    <w:pPr>
      <w:ind w:left="5"/>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uiPriority w:val="39"/>
    <w:qFormat/>
    <w:pPr>
      <w:spacing w:before="120"/>
    </w:pPr>
    <w:rPr>
      <w:rFonts w:asciiTheme="minorHAnsi" w:hAnsiTheme="minorHAnsi" w:cstheme="minorHAnsi"/>
      <w:b/>
      <w:bCs/>
      <w:i/>
      <w:iCs/>
      <w:sz w:val="24"/>
      <w:szCs w:val="24"/>
    </w:rPr>
  </w:style>
  <w:style w:type="paragraph" w:styleId="Obsah2">
    <w:name w:val="toc 2"/>
    <w:basedOn w:val="Normlny"/>
    <w:uiPriority w:val="39"/>
    <w:qFormat/>
    <w:pPr>
      <w:spacing w:before="120"/>
      <w:ind w:left="220"/>
    </w:pPr>
    <w:rPr>
      <w:rFonts w:asciiTheme="minorHAnsi" w:hAnsiTheme="minorHAnsi" w:cstheme="minorHAnsi"/>
      <w:b/>
      <w:bCs/>
    </w:rPr>
  </w:style>
  <w:style w:type="paragraph" w:styleId="Zkladntext">
    <w:name w:val="Body Text"/>
    <w:basedOn w:val="Normlny"/>
    <w:uiPriority w:val="1"/>
    <w:qFormat/>
  </w:style>
  <w:style w:type="paragraph" w:styleId="Nzov">
    <w:name w:val="Title"/>
    <w:basedOn w:val="Normlny"/>
    <w:uiPriority w:val="10"/>
    <w:qFormat/>
    <w:pPr>
      <w:ind w:left="1557" w:right="1570"/>
      <w:jc w:val="center"/>
    </w:pPr>
    <w:rPr>
      <w:rFonts w:ascii="Times New Roman" w:eastAsia="Times New Roman" w:hAnsi="Times New Roman" w:cs="Times New Roman"/>
      <w:b/>
      <w:bCs/>
      <w:sz w:val="48"/>
      <w:szCs w:val="48"/>
    </w:rPr>
  </w:style>
  <w:style w:type="paragraph" w:styleId="Odsekzoznamu">
    <w:name w:val="List Paragraph"/>
    <w:basedOn w:val="Normlny"/>
    <w:uiPriority w:val="34"/>
    <w:qFormat/>
    <w:pPr>
      <w:ind w:left="662" w:hanging="542"/>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AA163D"/>
    <w:pPr>
      <w:tabs>
        <w:tab w:val="center" w:pos="4513"/>
        <w:tab w:val="right" w:pos="9026"/>
      </w:tabs>
    </w:pPr>
  </w:style>
  <w:style w:type="character" w:customStyle="1" w:styleId="HlavikaChar">
    <w:name w:val="Hlavička Char"/>
    <w:basedOn w:val="Predvolenpsmoodseku"/>
    <w:link w:val="Hlavika"/>
    <w:uiPriority w:val="99"/>
    <w:rsid w:val="00AA163D"/>
    <w:rPr>
      <w:rFonts w:ascii="Arial" w:eastAsia="Arial" w:hAnsi="Arial" w:cs="Arial"/>
    </w:rPr>
  </w:style>
  <w:style w:type="paragraph" w:styleId="Pta">
    <w:name w:val="footer"/>
    <w:basedOn w:val="Normlny"/>
    <w:link w:val="PtaChar"/>
    <w:uiPriority w:val="99"/>
    <w:unhideWhenUsed/>
    <w:rsid w:val="00AA163D"/>
    <w:pPr>
      <w:tabs>
        <w:tab w:val="center" w:pos="4513"/>
        <w:tab w:val="right" w:pos="9026"/>
      </w:tabs>
    </w:pPr>
  </w:style>
  <w:style w:type="character" w:customStyle="1" w:styleId="PtaChar">
    <w:name w:val="Päta Char"/>
    <w:basedOn w:val="Predvolenpsmoodseku"/>
    <w:link w:val="Pta"/>
    <w:uiPriority w:val="99"/>
    <w:rsid w:val="00AA163D"/>
    <w:rPr>
      <w:rFonts w:ascii="Arial" w:eastAsia="Arial" w:hAnsi="Arial" w:cs="Arial"/>
    </w:rPr>
  </w:style>
  <w:style w:type="paragraph" w:styleId="Textpoznmkypodiarou">
    <w:name w:val="footnote text"/>
    <w:basedOn w:val="Normlny"/>
    <w:link w:val="TextpoznmkypodiarouChar"/>
    <w:uiPriority w:val="99"/>
    <w:unhideWhenUsed/>
    <w:rsid w:val="00AA163D"/>
    <w:pPr>
      <w:widowControl/>
      <w:autoSpaceDE/>
      <w:autoSpaceDN/>
    </w:pPr>
    <w:rPr>
      <w:rFonts w:asciiTheme="minorHAnsi" w:eastAsiaTheme="minorHAnsi" w:hAnsiTheme="minorHAnsi" w:cstheme="minorBidi"/>
      <w:sz w:val="20"/>
      <w:szCs w:val="20"/>
      <w:lang w:val="es-ES"/>
    </w:rPr>
  </w:style>
  <w:style w:type="character" w:customStyle="1" w:styleId="TextpoznmkypodiarouChar">
    <w:name w:val="Text poznámky pod čiarou Char"/>
    <w:basedOn w:val="Predvolenpsmoodseku"/>
    <w:link w:val="Textpoznmkypodiarou"/>
    <w:uiPriority w:val="99"/>
    <w:rsid w:val="00AA163D"/>
    <w:rPr>
      <w:sz w:val="20"/>
      <w:szCs w:val="20"/>
      <w:lang w:val="es-ES"/>
    </w:rPr>
  </w:style>
  <w:style w:type="character" w:styleId="Odkaznapoznmkupodiarou">
    <w:name w:val="footnote reference"/>
    <w:basedOn w:val="Predvolenpsmoodseku"/>
    <w:uiPriority w:val="99"/>
    <w:semiHidden/>
    <w:unhideWhenUsed/>
    <w:rsid w:val="00AA163D"/>
    <w:rPr>
      <w:vertAlign w:val="superscript"/>
    </w:rPr>
  </w:style>
  <w:style w:type="character" w:styleId="Hypertextovprepojenie">
    <w:name w:val="Hyperlink"/>
    <w:basedOn w:val="Predvolenpsmoodseku"/>
    <w:uiPriority w:val="99"/>
    <w:unhideWhenUsed/>
    <w:rsid w:val="00AA163D"/>
    <w:rPr>
      <w:color w:val="0000FF" w:themeColor="hyperlink"/>
      <w:u w:val="single"/>
    </w:rPr>
  </w:style>
  <w:style w:type="paragraph" w:customStyle="1" w:styleId="Default">
    <w:name w:val="Default"/>
    <w:rsid w:val="00AA163D"/>
    <w:pPr>
      <w:widowControl/>
      <w:adjustRightInd w:val="0"/>
    </w:pPr>
    <w:rPr>
      <w:rFonts w:ascii="Calibri" w:hAnsi="Calibri" w:cs="Calibri"/>
      <w:color w:val="000000"/>
      <w:sz w:val="24"/>
      <w:szCs w:val="24"/>
      <w:lang w:val="es-ES"/>
    </w:rPr>
  </w:style>
  <w:style w:type="character" w:styleId="Odkaznakomentr">
    <w:name w:val="annotation reference"/>
    <w:basedOn w:val="Predvolenpsmoodseku"/>
    <w:uiPriority w:val="99"/>
    <w:semiHidden/>
    <w:unhideWhenUsed/>
    <w:rsid w:val="00AA163D"/>
    <w:rPr>
      <w:sz w:val="16"/>
      <w:szCs w:val="16"/>
    </w:rPr>
  </w:style>
  <w:style w:type="paragraph" w:styleId="Textkomentra">
    <w:name w:val="annotation text"/>
    <w:basedOn w:val="Normlny"/>
    <w:link w:val="TextkomentraChar"/>
    <w:uiPriority w:val="99"/>
    <w:unhideWhenUsed/>
    <w:rsid w:val="00AA163D"/>
    <w:pPr>
      <w:widowControl/>
      <w:autoSpaceDE/>
      <w:autoSpaceDN/>
      <w:spacing w:after="160"/>
    </w:pPr>
    <w:rPr>
      <w:rFonts w:asciiTheme="minorHAnsi" w:eastAsiaTheme="minorHAnsi" w:hAnsiTheme="minorHAnsi" w:cstheme="minorBidi"/>
      <w:sz w:val="20"/>
      <w:szCs w:val="20"/>
      <w:lang w:val="es-ES"/>
    </w:rPr>
  </w:style>
  <w:style w:type="character" w:customStyle="1" w:styleId="TextkomentraChar">
    <w:name w:val="Text komentára Char"/>
    <w:basedOn w:val="Predvolenpsmoodseku"/>
    <w:link w:val="Textkomentra"/>
    <w:uiPriority w:val="99"/>
    <w:rsid w:val="00AA163D"/>
    <w:rPr>
      <w:sz w:val="20"/>
      <w:szCs w:val="20"/>
      <w:lang w:val="es-ES"/>
    </w:rPr>
  </w:style>
  <w:style w:type="paragraph" w:styleId="Hlavikaobsahu">
    <w:name w:val="TOC Heading"/>
    <w:basedOn w:val="Nadpis1"/>
    <w:next w:val="Normlny"/>
    <w:uiPriority w:val="39"/>
    <w:unhideWhenUsed/>
    <w:qFormat/>
    <w:rsid w:val="00ED7176"/>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3">
    <w:name w:val="toc 3"/>
    <w:basedOn w:val="Normlny"/>
    <w:next w:val="Normlny"/>
    <w:autoRedefine/>
    <w:uiPriority w:val="39"/>
    <w:unhideWhenUsed/>
    <w:rsid w:val="00ED7176"/>
    <w:pPr>
      <w:ind w:left="440"/>
    </w:pPr>
    <w:rPr>
      <w:rFonts w:asciiTheme="minorHAnsi" w:hAnsiTheme="minorHAnsi" w:cstheme="minorHAnsi"/>
      <w:sz w:val="20"/>
      <w:szCs w:val="20"/>
    </w:rPr>
  </w:style>
  <w:style w:type="paragraph" w:styleId="Obsah4">
    <w:name w:val="toc 4"/>
    <w:basedOn w:val="Normlny"/>
    <w:next w:val="Normlny"/>
    <w:autoRedefine/>
    <w:uiPriority w:val="39"/>
    <w:semiHidden/>
    <w:unhideWhenUsed/>
    <w:rsid w:val="00ED7176"/>
    <w:pPr>
      <w:ind w:left="660"/>
    </w:pPr>
    <w:rPr>
      <w:rFonts w:asciiTheme="minorHAnsi" w:hAnsiTheme="minorHAnsi" w:cstheme="minorHAnsi"/>
      <w:sz w:val="20"/>
      <w:szCs w:val="20"/>
    </w:rPr>
  </w:style>
  <w:style w:type="paragraph" w:styleId="Obsah5">
    <w:name w:val="toc 5"/>
    <w:basedOn w:val="Normlny"/>
    <w:next w:val="Normlny"/>
    <w:autoRedefine/>
    <w:uiPriority w:val="39"/>
    <w:semiHidden/>
    <w:unhideWhenUsed/>
    <w:rsid w:val="00ED7176"/>
    <w:pPr>
      <w:ind w:left="880"/>
    </w:pPr>
    <w:rPr>
      <w:rFonts w:asciiTheme="minorHAnsi" w:hAnsiTheme="minorHAnsi" w:cstheme="minorHAnsi"/>
      <w:sz w:val="20"/>
      <w:szCs w:val="20"/>
    </w:rPr>
  </w:style>
  <w:style w:type="paragraph" w:styleId="Obsah6">
    <w:name w:val="toc 6"/>
    <w:basedOn w:val="Normlny"/>
    <w:next w:val="Normlny"/>
    <w:autoRedefine/>
    <w:uiPriority w:val="39"/>
    <w:semiHidden/>
    <w:unhideWhenUsed/>
    <w:rsid w:val="00ED7176"/>
    <w:pPr>
      <w:ind w:left="1100"/>
    </w:pPr>
    <w:rPr>
      <w:rFonts w:asciiTheme="minorHAnsi" w:hAnsiTheme="minorHAnsi" w:cstheme="minorHAnsi"/>
      <w:sz w:val="20"/>
      <w:szCs w:val="20"/>
    </w:rPr>
  </w:style>
  <w:style w:type="paragraph" w:styleId="Obsah7">
    <w:name w:val="toc 7"/>
    <w:basedOn w:val="Normlny"/>
    <w:next w:val="Normlny"/>
    <w:autoRedefine/>
    <w:uiPriority w:val="39"/>
    <w:semiHidden/>
    <w:unhideWhenUsed/>
    <w:rsid w:val="00ED7176"/>
    <w:pPr>
      <w:ind w:left="1320"/>
    </w:pPr>
    <w:rPr>
      <w:rFonts w:asciiTheme="minorHAnsi" w:hAnsiTheme="minorHAnsi" w:cstheme="minorHAnsi"/>
      <w:sz w:val="20"/>
      <w:szCs w:val="20"/>
    </w:rPr>
  </w:style>
  <w:style w:type="paragraph" w:styleId="Obsah8">
    <w:name w:val="toc 8"/>
    <w:basedOn w:val="Normlny"/>
    <w:next w:val="Normlny"/>
    <w:autoRedefine/>
    <w:uiPriority w:val="39"/>
    <w:semiHidden/>
    <w:unhideWhenUsed/>
    <w:rsid w:val="00ED7176"/>
    <w:pPr>
      <w:ind w:left="1540"/>
    </w:pPr>
    <w:rPr>
      <w:rFonts w:asciiTheme="minorHAnsi" w:hAnsiTheme="minorHAnsi" w:cstheme="minorHAnsi"/>
      <w:sz w:val="20"/>
      <w:szCs w:val="20"/>
    </w:rPr>
  </w:style>
  <w:style w:type="paragraph" w:styleId="Obsah9">
    <w:name w:val="toc 9"/>
    <w:basedOn w:val="Normlny"/>
    <w:next w:val="Normlny"/>
    <w:autoRedefine/>
    <w:uiPriority w:val="39"/>
    <w:semiHidden/>
    <w:unhideWhenUsed/>
    <w:rsid w:val="00ED7176"/>
    <w:pPr>
      <w:ind w:left="1760"/>
    </w:pPr>
    <w:rPr>
      <w:rFonts w:asciiTheme="minorHAnsi" w:hAnsiTheme="minorHAnsi" w:cstheme="minorHAnsi"/>
      <w:sz w:val="20"/>
      <w:szCs w:val="20"/>
    </w:rPr>
  </w:style>
  <w:style w:type="character" w:styleId="Nevyrieenzmienka">
    <w:name w:val="Unresolved Mention"/>
    <w:basedOn w:val="Predvolenpsmoodseku"/>
    <w:uiPriority w:val="99"/>
    <w:semiHidden/>
    <w:unhideWhenUsed/>
    <w:rsid w:val="006E7F9C"/>
    <w:rPr>
      <w:color w:val="605E5C"/>
      <w:shd w:val="clear" w:color="auto" w:fill="E1DFDD"/>
    </w:rPr>
  </w:style>
  <w:style w:type="paragraph" w:styleId="Revzia">
    <w:name w:val="Revision"/>
    <w:hidden/>
    <w:uiPriority w:val="99"/>
    <w:semiHidden/>
    <w:rsid w:val="00F16CC5"/>
    <w:pPr>
      <w:widowControl/>
      <w:autoSpaceDE/>
      <w:autoSpaceDN/>
    </w:pPr>
    <w:rPr>
      <w:rFonts w:ascii="Arial" w:eastAsia="Arial" w:hAnsi="Arial" w:cs="Arial"/>
    </w:rPr>
  </w:style>
  <w:style w:type="paragraph" w:styleId="Textbubliny">
    <w:name w:val="Balloon Text"/>
    <w:basedOn w:val="Normlny"/>
    <w:link w:val="TextbublinyChar"/>
    <w:uiPriority w:val="99"/>
    <w:semiHidden/>
    <w:unhideWhenUsed/>
    <w:rsid w:val="00985E23"/>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85E23"/>
    <w:rPr>
      <w:rFonts w:ascii="Times New Roman" w:eastAsia="Arial" w:hAnsi="Times New Roman" w:cs="Times New Roman"/>
      <w:sz w:val="18"/>
      <w:szCs w:val="18"/>
    </w:rPr>
  </w:style>
  <w:style w:type="character" w:styleId="slostrany">
    <w:name w:val="page number"/>
    <w:basedOn w:val="Predvolenpsmoodseku"/>
    <w:uiPriority w:val="99"/>
    <w:semiHidden/>
    <w:unhideWhenUsed/>
    <w:rsid w:val="00874011"/>
  </w:style>
  <w:style w:type="table" w:styleId="Mriekatabuky">
    <w:name w:val="Table Grid"/>
    <w:basedOn w:val="Normlnatabuka"/>
    <w:uiPriority w:val="39"/>
    <w:rsid w:val="000A6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lny"/>
    <w:next w:val="Normlny"/>
    <w:uiPriority w:val="37"/>
    <w:unhideWhenUsed/>
    <w:rsid w:val="004B1449"/>
    <w:pPr>
      <w:widowControl/>
      <w:autoSpaceDE/>
      <w:autoSpaceDN/>
      <w:spacing w:after="160" w:line="278" w:lineRule="auto"/>
    </w:pPr>
    <w:rPr>
      <w:rFonts w:ascii="Times New Roman" w:eastAsiaTheme="minorEastAsia" w:hAnsi="Times New Roman" w:cstheme="minorBidi"/>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390">
      <w:bodyDiv w:val="1"/>
      <w:marLeft w:val="0"/>
      <w:marRight w:val="0"/>
      <w:marTop w:val="0"/>
      <w:marBottom w:val="0"/>
      <w:divBdr>
        <w:top w:val="none" w:sz="0" w:space="0" w:color="auto"/>
        <w:left w:val="none" w:sz="0" w:space="0" w:color="auto"/>
        <w:bottom w:val="none" w:sz="0" w:space="0" w:color="auto"/>
        <w:right w:val="none" w:sz="0" w:space="0" w:color="auto"/>
      </w:divBdr>
    </w:div>
    <w:div w:id="546723858">
      <w:bodyDiv w:val="1"/>
      <w:marLeft w:val="0"/>
      <w:marRight w:val="0"/>
      <w:marTop w:val="0"/>
      <w:marBottom w:val="0"/>
      <w:divBdr>
        <w:top w:val="none" w:sz="0" w:space="0" w:color="auto"/>
        <w:left w:val="none" w:sz="0" w:space="0" w:color="auto"/>
        <w:bottom w:val="none" w:sz="0" w:space="0" w:color="auto"/>
        <w:right w:val="none" w:sz="0" w:space="0" w:color="auto"/>
      </w:divBdr>
    </w:div>
    <w:div w:id="209396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nk.visegradfu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3E891-6E83-0246-91F4-11C33080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6325</Words>
  <Characters>36054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Adriána Ďurková</cp:lastModifiedBy>
  <cp:revision>3</cp:revision>
  <cp:lastPrinted>2025-10-13T14:11:00Z</cp:lastPrinted>
  <dcterms:created xsi:type="dcterms:W3CDTF">2025-10-29T11:04:00Z</dcterms:created>
  <dcterms:modified xsi:type="dcterms:W3CDTF">2025-10-29T11:05:00Z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2025-02-11T00:00:00Z</vt:filetime>
  </property>
  <property fmtid="{D5CDD505-2E9C-101B-9397-08002B2CF9AE}" pid="4" name="Producer">
    <vt:lpwstr>macOS Verze 14.3 (sestava 23D56) Quartz PDFContext</vt:lpwstr>
  </property>
</Properties>
</file>